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91D0" w14:textId="078E7EDA" w:rsidR="00B2553B" w:rsidRPr="003A4D35" w:rsidRDefault="00B2553B" w:rsidP="003A4D35">
      <w:pPr>
        <w:spacing w:before="120" w:after="240"/>
        <w:jc w:val="right"/>
        <w:rPr>
          <w:b/>
          <w:color w:val="538135" w:themeColor="accent6" w:themeShade="BF"/>
          <w:sz w:val="28"/>
          <w:szCs w:val="28"/>
        </w:rPr>
      </w:pPr>
      <w:r w:rsidRPr="003A4D35">
        <w:rPr>
          <w:b/>
          <w:color w:val="538135" w:themeColor="accent6" w:themeShade="BF"/>
          <w:sz w:val="28"/>
          <w:szCs w:val="28"/>
        </w:rPr>
        <w:t>Fiche n°</w:t>
      </w:r>
      <w:r w:rsidR="00452C5B">
        <w:rPr>
          <w:b/>
          <w:color w:val="538135" w:themeColor="accent6" w:themeShade="BF"/>
          <w:sz w:val="28"/>
          <w:szCs w:val="28"/>
        </w:rPr>
        <w:t>9</w:t>
      </w:r>
    </w:p>
    <w:tbl>
      <w:tblPr>
        <w:tblStyle w:val="Grilledutableau"/>
        <w:tblW w:w="0" w:type="auto"/>
        <w:tblBorders>
          <w:top w:val="double" w:sz="12" w:space="0" w:color="70AD47" w:themeColor="accent6"/>
          <w:left w:val="double" w:sz="12" w:space="0" w:color="70AD47" w:themeColor="accent6"/>
          <w:bottom w:val="double" w:sz="12" w:space="0" w:color="70AD47" w:themeColor="accent6"/>
          <w:right w:val="double" w:sz="12" w:space="0" w:color="70AD47" w:themeColor="accent6"/>
          <w:insideH w:val="none" w:sz="0" w:space="0" w:color="auto"/>
          <w:insideV w:val="none" w:sz="0" w:space="0" w:color="auto"/>
        </w:tblBorders>
        <w:tblLook w:val="04A0" w:firstRow="1" w:lastRow="0" w:firstColumn="1" w:lastColumn="0" w:noHBand="0" w:noVBand="1"/>
      </w:tblPr>
      <w:tblGrid>
        <w:gridCol w:w="8982"/>
      </w:tblGrid>
      <w:tr w:rsidR="003A4D35" w14:paraId="70B51327" w14:textId="77777777" w:rsidTr="003D589E">
        <w:tc>
          <w:tcPr>
            <w:tcW w:w="8982" w:type="dxa"/>
          </w:tcPr>
          <w:p w14:paraId="1E71040C" w14:textId="0D9481C8" w:rsidR="003A4D35" w:rsidRDefault="00452C5B" w:rsidP="00E57155">
            <w:pPr>
              <w:spacing w:before="240" w:after="240"/>
              <w:jc w:val="center"/>
            </w:pPr>
            <w:r>
              <w:rPr>
                <w:b/>
                <w:color w:val="538135" w:themeColor="accent6" w:themeShade="BF"/>
                <w:sz w:val="28"/>
                <w:szCs w:val="28"/>
              </w:rPr>
              <w:t>La période d’immersion professionnelle</w:t>
            </w:r>
          </w:p>
        </w:tc>
      </w:tr>
    </w:tbl>
    <w:p w14:paraId="4A02B54F" w14:textId="77777777" w:rsidR="00B2553B" w:rsidRDefault="00B2553B" w:rsidP="007771E7">
      <w:pPr>
        <w:spacing w:before="120" w:after="0"/>
        <w:jc w:val="both"/>
      </w:pPr>
    </w:p>
    <w:p w14:paraId="02323C65" w14:textId="71FC2156" w:rsidR="0002518E" w:rsidRDefault="00594368" w:rsidP="007771E7">
      <w:pPr>
        <w:spacing w:before="120" w:after="0"/>
        <w:jc w:val="both"/>
      </w:pPr>
      <w:r>
        <w:t xml:space="preserve">Afin </w:t>
      </w:r>
      <w:r w:rsidR="001733D2">
        <w:t>d’accompagner les agents dans leur projet de mobilité ou d’évolution professionnelle</w:t>
      </w:r>
      <w:r>
        <w:t xml:space="preserve">, </w:t>
      </w:r>
      <w:r w:rsidR="001733D2">
        <w:t>un nouveau dispositif a été créé pour les agents publics : la période d’immersion professionnelle</w:t>
      </w:r>
      <w:r w:rsidR="00F036C1">
        <w:t xml:space="preserve">. </w:t>
      </w:r>
    </w:p>
    <w:p w14:paraId="5026C598" w14:textId="54111D80" w:rsidR="0002518E" w:rsidRPr="003A4D35" w:rsidRDefault="00F135DB" w:rsidP="003A4D35">
      <w:pPr>
        <w:pBdr>
          <w:top w:val="single" w:sz="12" w:space="1" w:color="70AD47" w:themeColor="accent6"/>
          <w:left w:val="single" w:sz="12" w:space="4" w:color="70AD47" w:themeColor="accent6"/>
          <w:bottom w:val="single" w:sz="12" w:space="1" w:color="70AD47" w:themeColor="accent6"/>
          <w:right w:val="single" w:sz="12" w:space="4" w:color="70AD47" w:themeColor="accent6"/>
        </w:pBdr>
        <w:spacing w:before="360" w:after="180"/>
        <w:jc w:val="both"/>
        <w:rPr>
          <w:b/>
          <w:color w:val="538135" w:themeColor="accent6" w:themeShade="BF"/>
          <w:sz w:val="24"/>
          <w:szCs w:val="24"/>
        </w:rPr>
      </w:pPr>
      <w:r>
        <w:rPr>
          <w:b/>
          <w:color w:val="538135" w:themeColor="accent6" w:themeShade="BF"/>
          <w:sz w:val="24"/>
          <w:szCs w:val="24"/>
        </w:rPr>
        <w:t xml:space="preserve">Qu’est-ce que </w:t>
      </w:r>
      <w:r w:rsidR="00594368">
        <w:rPr>
          <w:b/>
          <w:color w:val="538135" w:themeColor="accent6" w:themeShade="BF"/>
          <w:sz w:val="24"/>
          <w:szCs w:val="24"/>
        </w:rPr>
        <w:t>la période d’immersion professionnelle</w:t>
      </w:r>
      <w:r w:rsidR="00D94CCC">
        <w:rPr>
          <w:b/>
          <w:color w:val="538135" w:themeColor="accent6" w:themeShade="BF"/>
          <w:sz w:val="24"/>
          <w:szCs w:val="24"/>
        </w:rPr>
        <w:t xml:space="preserve"> </w:t>
      </w:r>
      <w:r w:rsidR="0002518E" w:rsidRPr="003A4D35">
        <w:rPr>
          <w:b/>
          <w:color w:val="538135" w:themeColor="accent6" w:themeShade="BF"/>
          <w:sz w:val="24"/>
          <w:szCs w:val="24"/>
        </w:rPr>
        <w:t xml:space="preserve">? </w:t>
      </w:r>
    </w:p>
    <w:p w14:paraId="5630A131" w14:textId="0550C758" w:rsidR="00A919AD" w:rsidRPr="00594368" w:rsidRDefault="00594368" w:rsidP="00D94CCC">
      <w:pPr>
        <w:spacing w:before="120" w:after="0"/>
        <w:jc w:val="both"/>
      </w:pPr>
      <w:r w:rsidRPr="00594368">
        <w:t>La période d’immersion professionnelle</w:t>
      </w:r>
      <w:r>
        <w:t xml:space="preserve"> </w:t>
      </w:r>
      <w:r w:rsidR="004204AB">
        <w:t>permet à l’agent d’appréhender la réalité d’un métier, d’observer sa pratique et l’environnement professionnel dans lequel elle se déroule en vue de confirmer son projet d’évolution professionnelle et de faire un choix éclairé de mobilité.</w:t>
      </w:r>
    </w:p>
    <w:p w14:paraId="59EF9D47" w14:textId="10CDFC14" w:rsidR="0002518E" w:rsidRPr="003A4D35" w:rsidRDefault="0002518E" w:rsidP="003A4D35">
      <w:pPr>
        <w:pBdr>
          <w:top w:val="single" w:sz="12" w:space="1" w:color="70AD47" w:themeColor="accent6"/>
          <w:left w:val="single" w:sz="12" w:space="4" w:color="70AD47" w:themeColor="accent6"/>
          <w:bottom w:val="single" w:sz="12" w:space="1" w:color="70AD47" w:themeColor="accent6"/>
          <w:right w:val="single" w:sz="12" w:space="4" w:color="70AD47" w:themeColor="accent6"/>
        </w:pBdr>
        <w:spacing w:before="360" w:after="180"/>
        <w:jc w:val="both"/>
        <w:rPr>
          <w:b/>
          <w:color w:val="538135" w:themeColor="accent6" w:themeShade="BF"/>
          <w:sz w:val="24"/>
          <w:szCs w:val="24"/>
        </w:rPr>
      </w:pPr>
      <w:r w:rsidRPr="003A4D35">
        <w:rPr>
          <w:b/>
          <w:color w:val="538135" w:themeColor="accent6" w:themeShade="BF"/>
          <w:sz w:val="24"/>
          <w:szCs w:val="24"/>
        </w:rPr>
        <w:t xml:space="preserve">Qui peut mobiliser </w:t>
      </w:r>
      <w:r w:rsidR="000A1A95">
        <w:rPr>
          <w:b/>
          <w:color w:val="538135" w:themeColor="accent6" w:themeShade="BF"/>
          <w:sz w:val="24"/>
          <w:szCs w:val="24"/>
        </w:rPr>
        <w:t>la période d’immersion professionnelle</w:t>
      </w:r>
      <w:r w:rsidR="00D94CCC">
        <w:rPr>
          <w:b/>
          <w:color w:val="538135" w:themeColor="accent6" w:themeShade="BF"/>
          <w:sz w:val="24"/>
          <w:szCs w:val="24"/>
        </w:rPr>
        <w:t xml:space="preserve"> </w:t>
      </w:r>
      <w:r w:rsidRPr="003A4D35">
        <w:rPr>
          <w:b/>
          <w:color w:val="538135" w:themeColor="accent6" w:themeShade="BF"/>
          <w:sz w:val="24"/>
          <w:szCs w:val="24"/>
        </w:rPr>
        <w:t>?</w:t>
      </w:r>
    </w:p>
    <w:p w14:paraId="216C523F" w14:textId="5F7BFD24" w:rsidR="00D94CCC" w:rsidRDefault="00571803" w:rsidP="00D94CCC">
      <w:pPr>
        <w:spacing w:before="120" w:after="0"/>
        <w:jc w:val="both"/>
      </w:pPr>
      <w:r>
        <w:t>Les a</w:t>
      </w:r>
      <w:r w:rsidR="004204AB">
        <w:t>gents publics peuvent demander à faire une immersion professionnelle d’une durée de 2 à 10 jours ouvrés, consécutif</w:t>
      </w:r>
      <w:r w:rsidR="000A1A95">
        <w:t>s</w:t>
      </w:r>
      <w:r w:rsidR="004204AB">
        <w:t xml:space="preserve"> ou</w:t>
      </w:r>
      <w:r w:rsidR="000A1A95">
        <w:t xml:space="preserve"> non</w:t>
      </w:r>
      <w:r w:rsidR="000D146E">
        <w:t>,</w:t>
      </w:r>
      <w:r w:rsidR="004204AB">
        <w:t xml:space="preserve"> auprès d’un employeur public ou d’un organisme public. </w:t>
      </w:r>
    </w:p>
    <w:p w14:paraId="6017ADC2" w14:textId="10E9C457" w:rsidR="0002518E" w:rsidRPr="003A4D35" w:rsidRDefault="0002518E" w:rsidP="003A4D35">
      <w:pPr>
        <w:pBdr>
          <w:top w:val="single" w:sz="12" w:space="1" w:color="70AD47" w:themeColor="accent6"/>
          <w:left w:val="single" w:sz="12" w:space="4" w:color="70AD47" w:themeColor="accent6"/>
          <w:bottom w:val="single" w:sz="12" w:space="1" w:color="70AD47" w:themeColor="accent6"/>
          <w:right w:val="single" w:sz="12" w:space="4" w:color="70AD47" w:themeColor="accent6"/>
        </w:pBdr>
        <w:spacing w:before="360" w:after="180"/>
        <w:jc w:val="both"/>
        <w:rPr>
          <w:b/>
          <w:color w:val="538135" w:themeColor="accent6" w:themeShade="BF"/>
          <w:sz w:val="24"/>
          <w:szCs w:val="24"/>
        </w:rPr>
      </w:pPr>
      <w:r w:rsidRPr="003A4D35">
        <w:rPr>
          <w:b/>
          <w:color w:val="538135" w:themeColor="accent6" w:themeShade="BF"/>
          <w:sz w:val="24"/>
          <w:szCs w:val="24"/>
        </w:rPr>
        <w:t xml:space="preserve">Comment mobiliser </w:t>
      </w:r>
      <w:r w:rsidR="000A1A95">
        <w:rPr>
          <w:b/>
          <w:color w:val="538135" w:themeColor="accent6" w:themeShade="BF"/>
          <w:sz w:val="24"/>
          <w:szCs w:val="24"/>
        </w:rPr>
        <w:t>la période d’immersion professionnelle</w:t>
      </w:r>
      <w:r w:rsidR="00D94CCC">
        <w:rPr>
          <w:b/>
          <w:color w:val="538135" w:themeColor="accent6" w:themeShade="BF"/>
          <w:sz w:val="24"/>
          <w:szCs w:val="24"/>
        </w:rPr>
        <w:t xml:space="preserve"> </w:t>
      </w:r>
      <w:r w:rsidRPr="003A4D35">
        <w:rPr>
          <w:b/>
          <w:color w:val="538135" w:themeColor="accent6" w:themeShade="BF"/>
          <w:sz w:val="24"/>
          <w:szCs w:val="24"/>
        </w:rPr>
        <w:t>?</w:t>
      </w:r>
    </w:p>
    <w:p w14:paraId="2E2665DF" w14:textId="77777777" w:rsidR="000A1A95" w:rsidRDefault="000A1A95" w:rsidP="00D94CCC">
      <w:pPr>
        <w:spacing w:before="120" w:after="0"/>
        <w:jc w:val="both"/>
      </w:pPr>
      <w:r>
        <w:t>L</w:t>
      </w:r>
      <w:r w:rsidR="00D24ADA">
        <w:t>a demande de mobilisation d’une période d’immersion professionnel</w:t>
      </w:r>
      <w:r>
        <w:t>le</w:t>
      </w:r>
      <w:r w:rsidR="00D24ADA">
        <w:t xml:space="preserve"> </w:t>
      </w:r>
      <w:r>
        <w:t xml:space="preserve">doit être </w:t>
      </w:r>
      <w:r w:rsidR="00D24ADA">
        <w:t xml:space="preserve">motivée </w:t>
      </w:r>
      <w:r>
        <w:t>en</w:t>
      </w:r>
      <w:r w:rsidR="00D24ADA">
        <w:t xml:space="preserve"> précisant</w:t>
      </w:r>
      <w:r>
        <w:t> :</w:t>
      </w:r>
    </w:p>
    <w:p w14:paraId="5ADA1401" w14:textId="77777777" w:rsidR="000A1A95" w:rsidRDefault="00D24ADA" w:rsidP="000A1A95">
      <w:pPr>
        <w:pStyle w:val="Paragraphedeliste"/>
        <w:numPr>
          <w:ilvl w:val="0"/>
          <w:numId w:val="18"/>
        </w:numPr>
        <w:spacing w:before="60" w:after="0"/>
        <w:ind w:left="714" w:hanging="357"/>
        <w:contextualSpacing w:val="0"/>
        <w:jc w:val="both"/>
      </w:pPr>
      <w:proofErr w:type="gramStart"/>
      <w:r>
        <w:t>la</w:t>
      </w:r>
      <w:proofErr w:type="gramEnd"/>
      <w:r>
        <w:t xml:space="preserve"> structure d’accueil souhaitée</w:t>
      </w:r>
      <w:r w:rsidR="000A1A95">
        <w:t> ;</w:t>
      </w:r>
    </w:p>
    <w:p w14:paraId="084C32E3" w14:textId="77777777" w:rsidR="000A1A95" w:rsidRDefault="00D24ADA" w:rsidP="000A1A95">
      <w:pPr>
        <w:pStyle w:val="Paragraphedeliste"/>
        <w:numPr>
          <w:ilvl w:val="0"/>
          <w:numId w:val="18"/>
        </w:numPr>
        <w:spacing w:before="60" w:after="0"/>
        <w:ind w:left="714" w:hanging="357"/>
        <w:contextualSpacing w:val="0"/>
        <w:jc w:val="both"/>
      </w:pPr>
      <w:proofErr w:type="gramStart"/>
      <w:r>
        <w:t>la</w:t>
      </w:r>
      <w:proofErr w:type="gramEnd"/>
      <w:r>
        <w:t xml:space="preserve"> durée et la période envisagée</w:t>
      </w:r>
      <w:r w:rsidR="000A1A95">
        <w:t> ;</w:t>
      </w:r>
    </w:p>
    <w:p w14:paraId="5D75145C" w14:textId="77777777" w:rsidR="000A1A95" w:rsidRDefault="000A1A95" w:rsidP="000A1A95">
      <w:pPr>
        <w:pStyle w:val="Paragraphedeliste"/>
        <w:numPr>
          <w:ilvl w:val="0"/>
          <w:numId w:val="18"/>
        </w:numPr>
        <w:spacing w:before="60" w:after="0"/>
        <w:ind w:left="714" w:hanging="357"/>
        <w:contextualSpacing w:val="0"/>
        <w:jc w:val="both"/>
      </w:pPr>
      <w:proofErr w:type="gramStart"/>
      <w:r>
        <w:t>l</w:t>
      </w:r>
      <w:r w:rsidR="00D24ADA">
        <w:t>e</w:t>
      </w:r>
      <w:proofErr w:type="gramEnd"/>
      <w:r w:rsidR="00D24ADA">
        <w:t xml:space="preserve"> projet d’évolu</w:t>
      </w:r>
      <w:r w:rsidR="004F262B">
        <w:t xml:space="preserve">tion professionnelle en lien avec sa demande </w:t>
      </w:r>
    </w:p>
    <w:p w14:paraId="6F55C748" w14:textId="78C66D8F" w:rsidR="00D24ADA" w:rsidRDefault="004F262B" w:rsidP="000A1A95">
      <w:pPr>
        <w:pStyle w:val="Paragraphedeliste"/>
        <w:numPr>
          <w:ilvl w:val="0"/>
          <w:numId w:val="18"/>
        </w:numPr>
        <w:spacing w:before="60" w:after="0"/>
        <w:ind w:left="714" w:hanging="357"/>
        <w:contextualSpacing w:val="0"/>
        <w:jc w:val="both"/>
      </w:pPr>
      <w:proofErr w:type="gramStart"/>
      <w:r>
        <w:t>les</w:t>
      </w:r>
      <w:proofErr w:type="gramEnd"/>
      <w:r>
        <w:t xml:space="preserve"> missions qu’il souhaite observer</w:t>
      </w:r>
      <w:r w:rsidR="00D24ADA">
        <w:t>.</w:t>
      </w:r>
    </w:p>
    <w:p w14:paraId="33FCB867" w14:textId="77777777" w:rsidR="000A1A95" w:rsidRDefault="00D24ADA" w:rsidP="00D94CCC">
      <w:pPr>
        <w:spacing w:before="120" w:after="0"/>
        <w:jc w:val="both"/>
      </w:pPr>
      <w:r>
        <w:t xml:space="preserve">La demande </w:t>
      </w:r>
      <w:r w:rsidR="000A1A95">
        <w:t>doit être</w:t>
      </w:r>
      <w:r>
        <w:t xml:space="preserve"> déposée </w:t>
      </w:r>
      <w:r w:rsidR="000A1A95">
        <w:t xml:space="preserve">auprès du supérieur hiérarchique de l’agent, </w:t>
      </w:r>
      <w:r>
        <w:t xml:space="preserve">3 mois avant </w:t>
      </w:r>
      <w:r w:rsidR="004F262B">
        <w:t xml:space="preserve">la période considérée. </w:t>
      </w:r>
    </w:p>
    <w:p w14:paraId="6CD29331" w14:textId="50999937" w:rsidR="00835611" w:rsidRDefault="000A1A95" w:rsidP="00D94CCC">
      <w:pPr>
        <w:spacing w:before="120" w:after="0"/>
        <w:jc w:val="both"/>
      </w:pPr>
      <w:r>
        <w:t>Elle est examinée par le supérieur hiérarchique en lien avec l</w:t>
      </w:r>
      <w:r w:rsidR="004F262B">
        <w:t xml:space="preserve">’IGAPS </w:t>
      </w:r>
      <w:r>
        <w:t xml:space="preserve">référent qui </w:t>
      </w:r>
      <w:r w:rsidR="004F262B">
        <w:t>se prononcent</w:t>
      </w:r>
      <w:r>
        <w:t>,</w:t>
      </w:r>
      <w:r w:rsidR="004F262B">
        <w:t xml:space="preserve"> dans le mois qui suit la demande</w:t>
      </w:r>
      <w:r>
        <w:t>,</w:t>
      </w:r>
      <w:r w:rsidR="004F262B">
        <w:t xml:space="preserve"> </w:t>
      </w:r>
      <w:r>
        <w:t xml:space="preserve">notamment </w:t>
      </w:r>
      <w:r w:rsidR="004F262B">
        <w:t xml:space="preserve">sur la cohérence de la demande avec le projet d’évolution professionnelle </w:t>
      </w:r>
      <w:r>
        <w:t>présenté</w:t>
      </w:r>
      <w:r w:rsidR="004F262B">
        <w:t>. Ils déterminent l</w:t>
      </w:r>
      <w:r w:rsidR="00411109">
        <w:t xml:space="preserve">e calendrier de l’immersion professionnelle. </w:t>
      </w:r>
    </w:p>
    <w:p w14:paraId="5D84F96D" w14:textId="09F50D86" w:rsidR="00411109" w:rsidRDefault="0013723C" w:rsidP="00D94CCC">
      <w:pPr>
        <w:spacing w:before="120" w:after="0"/>
        <w:jc w:val="both"/>
      </w:pPr>
      <w:r>
        <w:t>La demande de l’agent validée est ensuite transmise au</w:t>
      </w:r>
      <w:r w:rsidR="00411109">
        <w:t xml:space="preserve"> gestionnaire de proximité RH </w:t>
      </w:r>
      <w:r w:rsidR="009F5605">
        <w:t xml:space="preserve">et au responsable local de formation </w:t>
      </w:r>
      <w:r>
        <w:t>qui élabore</w:t>
      </w:r>
      <w:r w:rsidR="009F5605">
        <w:t>nt</w:t>
      </w:r>
      <w:r w:rsidR="00411109">
        <w:t xml:space="preserve"> la convention tripartite</w:t>
      </w:r>
      <w:r w:rsidR="003348FF">
        <w:rPr>
          <w:rStyle w:val="Appelnotedebasdep"/>
        </w:rPr>
        <w:footnoteReference w:id="1"/>
      </w:r>
      <w:r w:rsidR="00411109">
        <w:t>.</w:t>
      </w:r>
      <w:r w:rsidR="000D3C74">
        <w:t xml:space="preserve"> </w:t>
      </w:r>
    </w:p>
    <w:p w14:paraId="168244DA" w14:textId="77777777" w:rsidR="00937641" w:rsidRDefault="00937641">
      <w:pPr>
        <w:rPr>
          <w:b/>
          <w:color w:val="538135" w:themeColor="accent6" w:themeShade="BF"/>
          <w:sz w:val="24"/>
          <w:szCs w:val="24"/>
        </w:rPr>
      </w:pPr>
      <w:r>
        <w:rPr>
          <w:b/>
          <w:color w:val="538135" w:themeColor="accent6" w:themeShade="BF"/>
          <w:sz w:val="24"/>
          <w:szCs w:val="24"/>
        </w:rPr>
        <w:br w:type="page"/>
      </w:r>
    </w:p>
    <w:p w14:paraId="171CDE40" w14:textId="5A4EA7A5" w:rsidR="00AE3D39" w:rsidRPr="003A4D35" w:rsidRDefault="00AE3D39" w:rsidP="003A4D35">
      <w:pPr>
        <w:pBdr>
          <w:top w:val="single" w:sz="12" w:space="1" w:color="70AD47" w:themeColor="accent6"/>
          <w:left w:val="single" w:sz="12" w:space="4" w:color="70AD47" w:themeColor="accent6"/>
          <w:bottom w:val="single" w:sz="12" w:space="1" w:color="70AD47" w:themeColor="accent6"/>
          <w:right w:val="single" w:sz="12" w:space="4" w:color="70AD47" w:themeColor="accent6"/>
        </w:pBdr>
        <w:spacing w:before="360" w:after="180"/>
        <w:jc w:val="both"/>
        <w:rPr>
          <w:b/>
          <w:color w:val="538135" w:themeColor="accent6" w:themeShade="BF"/>
          <w:sz w:val="24"/>
          <w:szCs w:val="24"/>
        </w:rPr>
      </w:pPr>
      <w:r w:rsidRPr="003A4D35">
        <w:rPr>
          <w:b/>
          <w:color w:val="538135" w:themeColor="accent6" w:themeShade="BF"/>
          <w:sz w:val="24"/>
          <w:szCs w:val="24"/>
        </w:rPr>
        <w:lastRenderedPageBreak/>
        <w:t xml:space="preserve">Comment se déroule </w:t>
      </w:r>
      <w:r w:rsidR="00536C1B">
        <w:rPr>
          <w:b/>
          <w:color w:val="538135" w:themeColor="accent6" w:themeShade="BF"/>
          <w:sz w:val="24"/>
          <w:szCs w:val="24"/>
        </w:rPr>
        <w:t xml:space="preserve">la période d’immersion professionnelle </w:t>
      </w:r>
      <w:r w:rsidRPr="003A4D35">
        <w:rPr>
          <w:b/>
          <w:color w:val="538135" w:themeColor="accent6" w:themeShade="BF"/>
          <w:sz w:val="24"/>
          <w:szCs w:val="24"/>
        </w:rPr>
        <w:t>?</w:t>
      </w:r>
    </w:p>
    <w:p w14:paraId="26A14788" w14:textId="00FBFC8B" w:rsidR="00D94CCC" w:rsidRDefault="004204AB" w:rsidP="00D94CCC">
      <w:pPr>
        <w:spacing w:before="120" w:after="0"/>
        <w:jc w:val="both"/>
      </w:pPr>
      <w:r>
        <w:t xml:space="preserve">L’agent observe les fonctions qui pourraient être les siennes en cas de concrétisation de son projet d’évolution professionnelle auprès de la personne publique. </w:t>
      </w:r>
    </w:p>
    <w:p w14:paraId="30BC577B" w14:textId="77777777" w:rsidR="0013723C" w:rsidRDefault="00D24ADA" w:rsidP="00D94CCC">
      <w:pPr>
        <w:spacing w:before="120" w:after="0"/>
        <w:jc w:val="both"/>
      </w:pPr>
      <w:r>
        <w:t xml:space="preserve">Une convention tripartite est signée entre l’agent, l’administration d’emploi et la structure d’accueil précisant les fonctions observées, le lieu, la durée et les temps de présence de l’agent selon un calendrier. </w:t>
      </w:r>
    </w:p>
    <w:p w14:paraId="5E140F1A" w14:textId="42AA9965" w:rsidR="00D24ADA" w:rsidRDefault="00D24ADA" w:rsidP="00D94CCC">
      <w:pPr>
        <w:spacing w:before="120" w:after="0"/>
        <w:jc w:val="both"/>
      </w:pPr>
      <w:r>
        <w:t xml:space="preserve">L’agent est considéré comme étant en mission durant cette période. </w:t>
      </w:r>
      <w:r w:rsidR="000D3C74">
        <w:t xml:space="preserve">Elle peut </w:t>
      </w:r>
      <w:r w:rsidR="000D3C74" w:rsidRPr="000D3C74">
        <w:t>donne</w:t>
      </w:r>
      <w:r w:rsidR="000D3C74">
        <w:t>r</w:t>
      </w:r>
      <w:r w:rsidR="000D3C74" w:rsidRPr="000D3C74">
        <w:t xml:space="preserve"> lieu, le cas échéant, à une prise en charge des frais de déplacement. </w:t>
      </w:r>
      <w:r>
        <w:t>La période d’immersion professionnelle est sans incidence sur la rémunération de l’agent.</w:t>
      </w:r>
    </w:p>
    <w:p w14:paraId="5563449E" w14:textId="3F133E60" w:rsidR="00D24ADA" w:rsidRPr="00D94CCC" w:rsidRDefault="00D24ADA" w:rsidP="00D94CCC">
      <w:pPr>
        <w:spacing w:before="120" w:after="0"/>
        <w:jc w:val="both"/>
      </w:pPr>
      <w:r>
        <w:t xml:space="preserve">La période d’immersion est décomptée du temps de service de l’agent. </w:t>
      </w:r>
    </w:p>
    <w:p w14:paraId="210763B1" w14:textId="6C105170" w:rsidR="00BB6C15" w:rsidRPr="003A4D35" w:rsidRDefault="00BB6C15" w:rsidP="00BB6C15">
      <w:pPr>
        <w:pBdr>
          <w:top w:val="single" w:sz="12" w:space="1" w:color="70AD47" w:themeColor="accent6"/>
          <w:left w:val="single" w:sz="12" w:space="4" w:color="70AD47" w:themeColor="accent6"/>
          <w:bottom w:val="single" w:sz="12" w:space="1" w:color="70AD47" w:themeColor="accent6"/>
          <w:right w:val="single" w:sz="12" w:space="4" w:color="70AD47" w:themeColor="accent6"/>
        </w:pBdr>
        <w:spacing w:before="360" w:after="180"/>
        <w:jc w:val="both"/>
        <w:rPr>
          <w:b/>
          <w:color w:val="538135" w:themeColor="accent6" w:themeShade="BF"/>
          <w:sz w:val="24"/>
          <w:szCs w:val="24"/>
        </w:rPr>
      </w:pPr>
      <w:r>
        <w:rPr>
          <w:b/>
          <w:color w:val="538135" w:themeColor="accent6" w:themeShade="BF"/>
          <w:sz w:val="24"/>
          <w:szCs w:val="24"/>
        </w:rPr>
        <w:t>Pour aller plus loin…</w:t>
      </w:r>
    </w:p>
    <w:p w14:paraId="01225A67" w14:textId="77777777" w:rsidR="00571803" w:rsidRDefault="00BB6C15" w:rsidP="00571803">
      <w:pPr>
        <w:pStyle w:val="Paragraphedeliste"/>
        <w:numPr>
          <w:ilvl w:val="0"/>
          <w:numId w:val="14"/>
        </w:numPr>
        <w:spacing w:before="120" w:after="0"/>
        <w:ind w:left="426" w:hanging="357"/>
        <w:contextualSpacing w:val="0"/>
        <w:jc w:val="both"/>
      </w:pPr>
      <w:r>
        <w:t>Article</w:t>
      </w:r>
      <w:r w:rsidR="00653ED7">
        <w:t>s</w:t>
      </w:r>
      <w:r>
        <w:t xml:space="preserve"> </w:t>
      </w:r>
      <w:r w:rsidR="00653ED7">
        <w:t>L</w:t>
      </w:r>
      <w:r w:rsidR="00E57155">
        <w:t xml:space="preserve">. </w:t>
      </w:r>
      <w:r w:rsidR="00F135DB">
        <w:t>422-8</w:t>
      </w:r>
      <w:r w:rsidR="00653ED7">
        <w:t xml:space="preserve"> et suivants du code général de la fonction publique </w:t>
      </w:r>
      <w:r>
        <w:t>;</w:t>
      </w:r>
    </w:p>
    <w:p w14:paraId="5C706A1F" w14:textId="64215E88" w:rsidR="00411109" w:rsidRDefault="00411109" w:rsidP="00411109">
      <w:pPr>
        <w:pStyle w:val="Paragraphedeliste"/>
        <w:numPr>
          <w:ilvl w:val="0"/>
          <w:numId w:val="14"/>
        </w:numPr>
        <w:spacing w:before="120" w:after="0"/>
        <w:ind w:left="426" w:hanging="357"/>
        <w:contextualSpacing w:val="0"/>
        <w:jc w:val="both"/>
      </w:pPr>
      <w:r>
        <w:t xml:space="preserve">Articles 9 et suivants du </w:t>
      </w:r>
      <w:hyperlink r:id="rId7" w:history="1">
        <w:r w:rsidRPr="0010150D">
          <w:rPr>
            <w:rStyle w:val="Lienhypertexte"/>
          </w:rPr>
          <w:t>d</w:t>
        </w:r>
        <w:r w:rsidR="00F135DB" w:rsidRPr="0010150D">
          <w:rPr>
            <w:rStyle w:val="Lienhypertexte"/>
          </w:rPr>
          <w:t xml:space="preserve">écret </w:t>
        </w:r>
        <w:r w:rsidRPr="0010150D">
          <w:rPr>
            <w:rStyle w:val="Lienhypertexte"/>
          </w:rPr>
          <w:t>n°2022-104</w:t>
        </w:r>
        <w:r w:rsidR="00CC0EB9" w:rsidRPr="0010150D">
          <w:rPr>
            <w:rStyle w:val="Lienhypertexte"/>
          </w:rPr>
          <w:t>3</w:t>
        </w:r>
        <w:r w:rsidRPr="0010150D">
          <w:rPr>
            <w:rStyle w:val="Lienhypertexte"/>
          </w:rPr>
          <w:t xml:space="preserve"> du 22 juillet 2022</w:t>
        </w:r>
      </w:hyperlink>
      <w:r>
        <w:t xml:space="preserve"> relatif à la formatio</w:t>
      </w:r>
      <w:r w:rsidR="00212644">
        <w:t>n</w:t>
      </w:r>
      <w:r>
        <w:t xml:space="preserve"> et à l’accompagnement personnalisé des agents publics en vue de favoriser leur évolution </w:t>
      </w:r>
      <w:r w:rsidR="0013723C">
        <w:t xml:space="preserve">professionnelle. </w:t>
      </w:r>
    </w:p>
    <w:p w14:paraId="7CC72D0F" w14:textId="1F64F08F" w:rsidR="00571803" w:rsidRDefault="00571803" w:rsidP="00212644">
      <w:pPr>
        <w:pStyle w:val="Paragraphedeliste"/>
        <w:spacing w:before="120" w:after="0"/>
        <w:ind w:left="426"/>
        <w:contextualSpacing w:val="0"/>
        <w:jc w:val="both"/>
      </w:pPr>
      <w:bookmarkStart w:id="0" w:name="_GoBack"/>
      <w:bookmarkEnd w:id="0"/>
    </w:p>
    <w:sectPr w:rsidR="0057180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895A" w14:textId="77777777" w:rsidR="0002518E" w:rsidRDefault="0002518E" w:rsidP="0002518E">
      <w:pPr>
        <w:spacing w:after="0" w:line="240" w:lineRule="auto"/>
      </w:pPr>
      <w:r>
        <w:separator/>
      </w:r>
    </w:p>
  </w:endnote>
  <w:endnote w:type="continuationSeparator" w:id="0">
    <w:p w14:paraId="74614E37" w14:textId="77777777" w:rsidR="0002518E" w:rsidRDefault="0002518E" w:rsidP="0002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D6D0" w14:textId="77777777" w:rsidR="00974B7E" w:rsidRDefault="00974B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549873"/>
      <w:docPartObj>
        <w:docPartGallery w:val="Page Numbers (Bottom of Page)"/>
        <w:docPartUnique/>
      </w:docPartObj>
    </w:sdtPr>
    <w:sdtEndPr/>
    <w:sdtContent>
      <w:sdt>
        <w:sdtPr>
          <w:id w:val="-1769616900"/>
          <w:docPartObj>
            <w:docPartGallery w:val="Page Numbers (Top of Page)"/>
            <w:docPartUnique/>
          </w:docPartObj>
        </w:sdtPr>
        <w:sdtEndPr/>
        <w:sdtContent>
          <w:p w14:paraId="5A1B404E" w14:textId="3AC9FC47" w:rsidR="00AD669F" w:rsidRDefault="00AD669F">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10150D">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0150D">
              <w:rPr>
                <w:b/>
                <w:bCs/>
                <w:noProof/>
              </w:rPr>
              <w:t>2</w:t>
            </w:r>
            <w:r>
              <w:rPr>
                <w:b/>
                <w:bCs/>
                <w:sz w:val="24"/>
                <w:szCs w:val="24"/>
              </w:rPr>
              <w:fldChar w:fldCharType="end"/>
            </w:r>
          </w:p>
        </w:sdtContent>
      </w:sdt>
    </w:sdtContent>
  </w:sdt>
  <w:p w14:paraId="0044A6A1" w14:textId="77777777" w:rsidR="00AD669F" w:rsidRDefault="00AD66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EBD34" w14:textId="77777777" w:rsidR="00974B7E" w:rsidRDefault="00974B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20CB4" w14:textId="77777777" w:rsidR="0002518E" w:rsidRDefault="0002518E" w:rsidP="0002518E">
      <w:pPr>
        <w:spacing w:after="0" w:line="240" w:lineRule="auto"/>
      </w:pPr>
      <w:r>
        <w:separator/>
      </w:r>
    </w:p>
  </w:footnote>
  <w:footnote w:type="continuationSeparator" w:id="0">
    <w:p w14:paraId="7BF5E58A" w14:textId="77777777" w:rsidR="0002518E" w:rsidRDefault="0002518E" w:rsidP="0002518E">
      <w:pPr>
        <w:spacing w:after="0" w:line="240" w:lineRule="auto"/>
      </w:pPr>
      <w:r>
        <w:continuationSeparator/>
      </w:r>
    </w:p>
  </w:footnote>
  <w:footnote w:id="1">
    <w:p w14:paraId="1914953D" w14:textId="665A38F9" w:rsidR="003348FF" w:rsidRDefault="003348FF">
      <w:pPr>
        <w:pStyle w:val="Notedebasdepage"/>
      </w:pPr>
      <w:r>
        <w:rPr>
          <w:rStyle w:val="Appelnotedebasdep"/>
        </w:rPr>
        <w:footnoteRef/>
      </w:r>
      <w:r>
        <w:t xml:space="preserve"> Modèle de convention en pièce jointe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9F84" w14:textId="0CBCBD0E" w:rsidR="00974B7E" w:rsidRDefault="00974B7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A077A" w14:textId="3FAD677A" w:rsidR="00974B7E" w:rsidRDefault="00974B7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1A0C" w14:textId="7EFEB6EE" w:rsidR="00974B7E" w:rsidRDefault="00974B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3C9"/>
    <w:multiLevelType w:val="hybridMultilevel"/>
    <w:tmpl w:val="8F308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04E61"/>
    <w:multiLevelType w:val="hybridMultilevel"/>
    <w:tmpl w:val="5BE49B86"/>
    <w:lvl w:ilvl="0" w:tplc="298659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0262F"/>
    <w:multiLevelType w:val="hybridMultilevel"/>
    <w:tmpl w:val="24AAFD0C"/>
    <w:lvl w:ilvl="0" w:tplc="298659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35828"/>
    <w:multiLevelType w:val="hybridMultilevel"/>
    <w:tmpl w:val="7E46A872"/>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AD3AC2"/>
    <w:multiLevelType w:val="hybridMultilevel"/>
    <w:tmpl w:val="DE6ED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3141E"/>
    <w:multiLevelType w:val="hybridMultilevel"/>
    <w:tmpl w:val="116CD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3A22EF"/>
    <w:multiLevelType w:val="hybridMultilevel"/>
    <w:tmpl w:val="DDFEF9F6"/>
    <w:lvl w:ilvl="0" w:tplc="298659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6C6200"/>
    <w:multiLevelType w:val="hybridMultilevel"/>
    <w:tmpl w:val="A57C0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995D1D"/>
    <w:multiLevelType w:val="hybridMultilevel"/>
    <w:tmpl w:val="ECA059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D357C2"/>
    <w:multiLevelType w:val="hybridMultilevel"/>
    <w:tmpl w:val="E424F8D4"/>
    <w:lvl w:ilvl="0" w:tplc="298659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17430F"/>
    <w:multiLevelType w:val="hybridMultilevel"/>
    <w:tmpl w:val="9AD2D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65832"/>
    <w:multiLevelType w:val="hybridMultilevel"/>
    <w:tmpl w:val="3A867B22"/>
    <w:lvl w:ilvl="0" w:tplc="E8DE234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479AC"/>
    <w:multiLevelType w:val="hybridMultilevel"/>
    <w:tmpl w:val="FACAA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27382D"/>
    <w:multiLevelType w:val="hybridMultilevel"/>
    <w:tmpl w:val="AAE228B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CC551F"/>
    <w:multiLevelType w:val="hybridMultilevel"/>
    <w:tmpl w:val="76260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F06192"/>
    <w:multiLevelType w:val="hybridMultilevel"/>
    <w:tmpl w:val="C35E7C70"/>
    <w:lvl w:ilvl="0" w:tplc="298659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530B65"/>
    <w:multiLevelType w:val="hybridMultilevel"/>
    <w:tmpl w:val="A8984E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1DE18F6"/>
    <w:multiLevelType w:val="hybridMultilevel"/>
    <w:tmpl w:val="AEA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5"/>
  </w:num>
  <w:num w:numId="4">
    <w:abstractNumId w:val="4"/>
  </w:num>
  <w:num w:numId="5">
    <w:abstractNumId w:val="8"/>
  </w:num>
  <w:num w:numId="6">
    <w:abstractNumId w:val="11"/>
  </w:num>
  <w:num w:numId="7">
    <w:abstractNumId w:val="16"/>
  </w:num>
  <w:num w:numId="8">
    <w:abstractNumId w:val="13"/>
  </w:num>
  <w:num w:numId="9">
    <w:abstractNumId w:val="3"/>
  </w:num>
  <w:num w:numId="10">
    <w:abstractNumId w:val="0"/>
  </w:num>
  <w:num w:numId="11">
    <w:abstractNumId w:val="14"/>
  </w:num>
  <w:num w:numId="12">
    <w:abstractNumId w:val="2"/>
  </w:num>
  <w:num w:numId="13">
    <w:abstractNumId w:val="15"/>
  </w:num>
  <w:num w:numId="14">
    <w:abstractNumId w:val="6"/>
  </w:num>
  <w:num w:numId="15">
    <w:abstractNumId w:val="12"/>
  </w:num>
  <w:num w:numId="16">
    <w:abstractNumId w:val="7"/>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1E"/>
    <w:rsid w:val="0002518E"/>
    <w:rsid w:val="000406D5"/>
    <w:rsid w:val="000A1A95"/>
    <w:rsid w:val="000A591E"/>
    <w:rsid w:val="000D146E"/>
    <w:rsid w:val="000D3771"/>
    <w:rsid w:val="000D3C74"/>
    <w:rsid w:val="0010150D"/>
    <w:rsid w:val="0013723C"/>
    <w:rsid w:val="001733D2"/>
    <w:rsid w:val="001D615E"/>
    <w:rsid w:val="00212644"/>
    <w:rsid w:val="0026711D"/>
    <w:rsid w:val="002677F5"/>
    <w:rsid w:val="002922B0"/>
    <w:rsid w:val="002B7AF9"/>
    <w:rsid w:val="002E2DB6"/>
    <w:rsid w:val="00314A9C"/>
    <w:rsid w:val="003348FF"/>
    <w:rsid w:val="003602CC"/>
    <w:rsid w:val="00392450"/>
    <w:rsid w:val="003A1B74"/>
    <w:rsid w:val="003A4D35"/>
    <w:rsid w:val="003C0BBA"/>
    <w:rsid w:val="003C6B3B"/>
    <w:rsid w:val="003E14C2"/>
    <w:rsid w:val="00411109"/>
    <w:rsid w:val="004204AB"/>
    <w:rsid w:val="00421BD6"/>
    <w:rsid w:val="00452C5B"/>
    <w:rsid w:val="00486F07"/>
    <w:rsid w:val="004A4D15"/>
    <w:rsid w:val="004D2948"/>
    <w:rsid w:val="004D3BB9"/>
    <w:rsid w:val="004F262B"/>
    <w:rsid w:val="00536C1B"/>
    <w:rsid w:val="00571803"/>
    <w:rsid w:val="005847D8"/>
    <w:rsid w:val="00594368"/>
    <w:rsid w:val="005A4951"/>
    <w:rsid w:val="005E4BD6"/>
    <w:rsid w:val="0060209E"/>
    <w:rsid w:val="00602845"/>
    <w:rsid w:val="00624F51"/>
    <w:rsid w:val="00653ED7"/>
    <w:rsid w:val="00654473"/>
    <w:rsid w:val="006771ED"/>
    <w:rsid w:val="006E1FA2"/>
    <w:rsid w:val="006E3CA0"/>
    <w:rsid w:val="007268EE"/>
    <w:rsid w:val="007771E7"/>
    <w:rsid w:val="007C749B"/>
    <w:rsid w:val="0081209C"/>
    <w:rsid w:val="008267B7"/>
    <w:rsid w:val="00835611"/>
    <w:rsid w:val="00854D57"/>
    <w:rsid w:val="00916CFE"/>
    <w:rsid w:val="00937641"/>
    <w:rsid w:val="00974B7E"/>
    <w:rsid w:val="00986F2A"/>
    <w:rsid w:val="009902E6"/>
    <w:rsid w:val="00996969"/>
    <w:rsid w:val="009E37DC"/>
    <w:rsid w:val="009F5605"/>
    <w:rsid w:val="00A044DE"/>
    <w:rsid w:val="00A16F4E"/>
    <w:rsid w:val="00A850D7"/>
    <w:rsid w:val="00A919AD"/>
    <w:rsid w:val="00AD669F"/>
    <w:rsid w:val="00AE3D39"/>
    <w:rsid w:val="00B2553B"/>
    <w:rsid w:val="00B524F0"/>
    <w:rsid w:val="00B651D0"/>
    <w:rsid w:val="00B85C56"/>
    <w:rsid w:val="00B86A1A"/>
    <w:rsid w:val="00B90949"/>
    <w:rsid w:val="00BB6C15"/>
    <w:rsid w:val="00BC0815"/>
    <w:rsid w:val="00BC6327"/>
    <w:rsid w:val="00C879CC"/>
    <w:rsid w:val="00CB65A8"/>
    <w:rsid w:val="00CC0EB9"/>
    <w:rsid w:val="00D017F9"/>
    <w:rsid w:val="00D171A7"/>
    <w:rsid w:val="00D24ADA"/>
    <w:rsid w:val="00D67079"/>
    <w:rsid w:val="00D94CCC"/>
    <w:rsid w:val="00DC3260"/>
    <w:rsid w:val="00E37CE5"/>
    <w:rsid w:val="00E57155"/>
    <w:rsid w:val="00E6441D"/>
    <w:rsid w:val="00E65EF7"/>
    <w:rsid w:val="00EB4446"/>
    <w:rsid w:val="00EE310A"/>
    <w:rsid w:val="00EE6D92"/>
    <w:rsid w:val="00F036C1"/>
    <w:rsid w:val="00F135DB"/>
    <w:rsid w:val="00F16DD5"/>
    <w:rsid w:val="00F23BA3"/>
    <w:rsid w:val="00F7339B"/>
    <w:rsid w:val="00FD3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0A6E4"/>
  <w15:chartTrackingRefBased/>
  <w15:docId w15:val="{3B8E529C-4332-4A60-B356-CB0E4673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591E"/>
    <w:pPr>
      <w:ind w:left="720"/>
      <w:contextualSpacing/>
    </w:pPr>
  </w:style>
  <w:style w:type="character" w:styleId="Marquedecommentaire">
    <w:name w:val="annotation reference"/>
    <w:basedOn w:val="Policepardfaut"/>
    <w:uiPriority w:val="99"/>
    <w:semiHidden/>
    <w:unhideWhenUsed/>
    <w:rsid w:val="004A4D15"/>
    <w:rPr>
      <w:sz w:val="16"/>
      <w:szCs w:val="16"/>
    </w:rPr>
  </w:style>
  <w:style w:type="paragraph" w:styleId="Commentaire">
    <w:name w:val="annotation text"/>
    <w:basedOn w:val="Normal"/>
    <w:link w:val="CommentaireCar"/>
    <w:uiPriority w:val="99"/>
    <w:semiHidden/>
    <w:unhideWhenUsed/>
    <w:rsid w:val="004A4D15"/>
    <w:pPr>
      <w:spacing w:line="240" w:lineRule="auto"/>
    </w:pPr>
    <w:rPr>
      <w:sz w:val="20"/>
      <w:szCs w:val="20"/>
    </w:rPr>
  </w:style>
  <w:style w:type="character" w:customStyle="1" w:styleId="CommentaireCar">
    <w:name w:val="Commentaire Car"/>
    <w:basedOn w:val="Policepardfaut"/>
    <w:link w:val="Commentaire"/>
    <w:uiPriority w:val="99"/>
    <w:semiHidden/>
    <w:rsid w:val="004A4D15"/>
    <w:rPr>
      <w:sz w:val="20"/>
      <w:szCs w:val="20"/>
    </w:rPr>
  </w:style>
  <w:style w:type="paragraph" w:styleId="Objetducommentaire">
    <w:name w:val="annotation subject"/>
    <w:basedOn w:val="Commentaire"/>
    <w:next w:val="Commentaire"/>
    <w:link w:val="ObjetducommentaireCar"/>
    <w:uiPriority w:val="99"/>
    <w:semiHidden/>
    <w:unhideWhenUsed/>
    <w:rsid w:val="004A4D15"/>
    <w:rPr>
      <w:b/>
      <w:bCs/>
    </w:rPr>
  </w:style>
  <w:style w:type="character" w:customStyle="1" w:styleId="ObjetducommentaireCar">
    <w:name w:val="Objet du commentaire Car"/>
    <w:basedOn w:val="CommentaireCar"/>
    <w:link w:val="Objetducommentaire"/>
    <w:uiPriority w:val="99"/>
    <w:semiHidden/>
    <w:rsid w:val="004A4D15"/>
    <w:rPr>
      <w:b/>
      <w:bCs/>
      <w:sz w:val="20"/>
      <w:szCs w:val="20"/>
    </w:rPr>
  </w:style>
  <w:style w:type="paragraph" w:styleId="Textedebulles">
    <w:name w:val="Balloon Text"/>
    <w:basedOn w:val="Normal"/>
    <w:link w:val="TextedebullesCar"/>
    <w:uiPriority w:val="99"/>
    <w:semiHidden/>
    <w:unhideWhenUsed/>
    <w:rsid w:val="004A4D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D15"/>
    <w:rPr>
      <w:rFonts w:ascii="Segoe UI" w:hAnsi="Segoe UI" w:cs="Segoe UI"/>
      <w:sz w:val="18"/>
      <w:szCs w:val="18"/>
    </w:rPr>
  </w:style>
  <w:style w:type="paragraph" w:styleId="Notedebasdepage">
    <w:name w:val="footnote text"/>
    <w:basedOn w:val="Normal"/>
    <w:link w:val="NotedebasdepageCar"/>
    <w:uiPriority w:val="99"/>
    <w:semiHidden/>
    <w:unhideWhenUsed/>
    <w:rsid w:val="000251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2518E"/>
    <w:rPr>
      <w:sz w:val="20"/>
      <w:szCs w:val="20"/>
    </w:rPr>
  </w:style>
  <w:style w:type="character" w:styleId="Appelnotedebasdep">
    <w:name w:val="footnote reference"/>
    <w:basedOn w:val="Policepardfaut"/>
    <w:uiPriority w:val="99"/>
    <w:semiHidden/>
    <w:unhideWhenUsed/>
    <w:rsid w:val="0002518E"/>
    <w:rPr>
      <w:vertAlign w:val="superscript"/>
    </w:rPr>
  </w:style>
  <w:style w:type="table" w:styleId="Grilledutableau">
    <w:name w:val="Table Grid"/>
    <w:basedOn w:val="TableauNormal"/>
    <w:uiPriority w:val="39"/>
    <w:rsid w:val="003A4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669F"/>
    <w:pPr>
      <w:tabs>
        <w:tab w:val="center" w:pos="4536"/>
        <w:tab w:val="right" w:pos="9072"/>
      </w:tabs>
      <w:spacing w:after="0" w:line="240" w:lineRule="auto"/>
    </w:pPr>
  </w:style>
  <w:style w:type="character" w:customStyle="1" w:styleId="En-tteCar">
    <w:name w:val="En-tête Car"/>
    <w:basedOn w:val="Policepardfaut"/>
    <w:link w:val="En-tte"/>
    <w:uiPriority w:val="99"/>
    <w:rsid w:val="00AD669F"/>
  </w:style>
  <w:style w:type="paragraph" w:styleId="Pieddepage">
    <w:name w:val="footer"/>
    <w:basedOn w:val="Normal"/>
    <w:link w:val="PieddepageCar"/>
    <w:uiPriority w:val="99"/>
    <w:unhideWhenUsed/>
    <w:rsid w:val="00AD66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69F"/>
  </w:style>
  <w:style w:type="character" w:styleId="Lienhypertexte">
    <w:name w:val="Hyperlink"/>
    <w:basedOn w:val="Policepardfaut"/>
    <w:uiPriority w:val="99"/>
    <w:unhideWhenUsed/>
    <w:rsid w:val="00101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france.gouv.fr/jorf/id/JORFTEXT00004608304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LASNE</dc:creator>
  <cp:keywords/>
  <dc:description/>
  <cp:lastModifiedBy>Florence PINATEL IGOA</cp:lastModifiedBy>
  <cp:revision>4</cp:revision>
  <dcterms:created xsi:type="dcterms:W3CDTF">2022-11-09T13:13:00Z</dcterms:created>
  <dcterms:modified xsi:type="dcterms:W3CDTF">2024-04-11T17:15:00Z</dcterms:modified>
</cp:coreProperties>
</file>