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91D0" w14:textId="7174B316" w:rsidR="00B2553B" w:rsidRPr="003A4D35" w:rsidRDefault="00B2553B" w:rsidP="003A4D35">
      <w:pPr>
        <w:spacing w:before="120" w:after="240"/>
        <w:jc w:val="right"/>
        <w:rPr>
          <w:b/>
          <w:color w:val="538135" w:themeColor="accent6" w:themeShade="BF"/>
          <w:sz w:val="28"/>
          <w:szCs w:val="28"/>
        </w:rPr>
      </w:pPr>
      <w:r w:rsidRPr="003A4D35">
        <w:rPr>
          <w:b/>
          <w:color w:val="538135" w:themeColor="accent6" w:themeShade="BF"/>
          <w:sz w:val="28"/>
          <w:szCs w:val="28"/>
        </w:rPr>
        <w:t>Fiche n°</w:t>
      </w:r>
      <w:r w:rsidR="00C450E0">
        <w:rPr>
          <w:b/>
          <w:color w:val="538135" w:themeColor="accent6" w:themeShade="BF"/>
          <w:sz w:val="28"/>
          <w:szCs w:val="28"/>
        </w:rPr>
        <w:t>6</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3A4D35" w14:paraId="70B51327" w14:textId="77777777" w:rsidTr="003D589E">
        <w:tc>
          <w:tcPr>
            <w:tcW w:w="8982" w:type="dxa"/>
          </w:tcPr>
          <w:p w14:paraId="1E71040C" w14:textId="4554562B" w:rsidR="001E496A" w:rsidRPr="001E496A" w:rsidRDefault="00C450E0" w:rsidP="001E496A">
            <w:pPr>
              <w:spacing w:before="240" w:after="120"/>
              <w:jc w:val="center"/>
              <w:rPr>
                <w:b/>
                <w:color w:val="538135" w:themeColor="accent6" w:themeShade="BF"/>
                <w:sz w:val="28"/>
                <w:szCs w:val="28"/>
              </w:rPr>
            </w:pPr>
            <w:r>
              <w:rPr>
                <w:b/>
                <w:color w:val="538135" w:themeColor="accent6" w:themeShade="BF"/>
                <w:sz w:val="28"/>
                <w:szCs w:val="28"/>
              </w:rPr>
              <w:t>Le congé de formation professionnel</w:t>
            </w:r>
            <w:r w:rsidR="00DD2AF4">
              <w:rPr>
                <w:b/>
                <w:color w:val="538135" w:themeColor="accent6" w:themeShade="BF"/>
                <w:sz w:val="28"/>
                <w:szCs w:val="28"/>
              </w:rPr>
              <w:t>le</w:t>
            </w:r>
            <w:r w:rsidR="003A4D35" w:rsidRPr="003A4D35">
              <w:rPr>
                <w:b/>
                <w:color w:val="538135" w:themeColor="accent6" w:themeShade="BF"/>
                <w:sz w:val="28"/>
                <w:szCs w:val="28"/>
              </w:rPr>
              <w:t xml:space="preserve"> (</w:t>
            </w:r>
            <w:r>
              <w:rPr>
                <w:b/>
                <w:color w:val="538135" w:themeColor="accent6" w:themeShade="BF"/>
                <w:sz w:val="28"/>
                <w:szCs w:val="28"/>
              </w:rPr>
              <w:t>CFP</w:t>
            </w:r>
            <w:r w:rsidR="003A4D35" w:rsidRPr="003A4D35">
              <w:rPr>
                <w:b/>
                <w:color w:val="538135" w:themeColor="accent6" w:themeShade="BF"/>
                <w:sz w:val="28"/>
                <w:szCs w:val="28"/>
              </w:rPr>
              <w:t>)</w:t>
            </w:r>
          </w:p>
        </w:tc>
      </w:tr>
    </w:tbl>
    <w:p w14:paraId="4A02B54F" w14:textId="202F5EF1" w:rsidR="00B2553B" w:rsidRDefault="002756A1" w:rsidP="00384D71">
      <w:pPr>
        <w:spacing w:before="360" w:after="0"/>
        <w:jc w:val="both"/>
      </w:pPr>
      <w:r>
        <w:t xml:space="preserve">Certaines formations nécessitent un temps long et ne permettent pas de </w:t>
      </w:r>
      <w:r w:rsidR="00E92118">
        <w:t>cumuler</w:t>
      </w:r>
      <w:r>
        <w:t xml:space="preserve"> son activité professionnelle avec les temps de formation. </w:t>
      </w:r>
      <w:r w:rsidR="00DD2AF4">
        <w:t xml:space="preserve">Le congé de formation professionnelle permet ainsi </w:t>
      </w:r>
      <w:r w:rsidR="0009776C">
        <w:t>de se consacrer aux actions de formation</w:t>
      </w:r>
      <w:r w:rsidR="003801DF">
        <w:t xml:space="preserve"> en dehors du temps de travail</w:t>
      </w:r>
      <w:r w:rsidR="0009776C">
        <w:t xml:space="preserve"> sur un temps long.</w:t>
      </w:r>
    </w:p>
    <w:p w14:paraId="5026C598" w14:textId="648BFEE6"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Qu’est-ce qu’un</w:t>
      </w:r>
      <w:r w:rsidR="00D94CCC">
        <w:rPr>
          <w:b/>
          <w:color w:val="538135" w:themeColor="accent6" w:themeShade="BF"/>
          <w:sz w:val="24"/>
          <w:szCs w:val="24"/>
        </w:rPr>
        <w:t xml:space="preserve"> </w:t>
      </w:r>
      <w:r w:rsidR="002756A1">
        <w:rPr>
          <w:b/>
          <w:color w:val="538135" w:themeColor="accent6" w:themeShade="BF"/>
          <w:sz w:val="24"/>
          <w:szCs w:val="24"/>
        </w:rPr>
        <w:t>congé de formation professionnel</w:t>
      </w:r>
      <w:r w:rsidR="0009776C">
        <w:rPr>
          <w:b/>
          <w:color w:val="538135" w:themeColor="accent6" w:themeShade="BF"/>
          <w:sz w:val="24"/>
          <w:szCs w:val="24"/>
        </w:rPr>
        <w:t>le</w:t>
      </w:r>
      <w:r w:rsidR="00D94CCC">
        <w:rPr>
          <w:b/>
          <w:color w:val="538135" w:themeColor="accent6" w:themeShade="BF"/>
          <w:sz w:val="24"/>
          <w:szCs w:val="24"/>
        </w:rPr>
        <w:t xml:space="preserve"> </w:t>
      </w:r>
      <w:r w:rsidRPr="003A4D35">
        <w:rPr>
          <w:b/>
          <w:color w:val="538135" w:themeColor="accent6" w:themeShade="BF"/>
          <w:sz w:val="24"/>
          <w:szCs w:val="24"/>
        </w:rPr>
        <w:t xml:space="preserve">? </w:t>
      </w:r>
    </w:p>
    <w:p w14:paraId="040D9696" w14:textId="644DD159" w:rsidR="0009776C" w:rsidRDefault="002756A1" w:rsidP="002756A1">
      <w:pPr>
        <w:spacing w:after="0"/>
        <w:jc w:val="both"/>
      </w:pPr>
      <w:r>
        <w:t>Le congé de formation professionnelle (CFP) permet à l’agent public (titulaire ou cont</w:t>
      </w:r>
      <w:r w:rsidR="0009776C">
        <w:t>ractuel)</w:t>
      </w:r>
      <w:r w:rsidR="00384D71">
        <w:t>,</w:t>
      </w:r>
      <w:r w:rsidR="0009776C">
        <w:t xml:space="preserve"> </w:t>
      </w:r>
      <w:r w:rsidR="00862781">
        <w:t>à</w:t>
      </w:r>
      <w:r w:rsidR="0009776C">
        <w:t xml:space="preserve"> son initiative</w:t>
      </w:r>
      <w:r w:rsidR="00384D71">
        <w:t>,</w:t>
      </w:r>
      <w:r w:rsidR="0009776C">
        <w:t xml:space="preserve"> de compléter</w:t>
      </w:r>
      <w:r>
        <w:t xml:space="preserve"> sa for</w:t>
      </w:r>
      <w:r w:rsidR="0009776C">
        <w:t>mation personnelle par le biais :</w:t>
      </w:r>
    </w:p>
    <w:p w14:paraId="505237CA" w14:textId="0DFABB78" w:rsidR="0009776C" w:rsidRDefault="002756A1" w:rsidP="00384D71">
      <w:pPr>
        <w:pStyle w:val="Paragraphedeliste"/>
        <w:numPr>
          <w:ilvl w:val="0"/>
          <w:numId w:val="17"/>
        </w:numPr>
        <w:spacing w:before="120" w:after="0"/>
        <w:ind w:left="714" w:hanging="357"/>
        <w:contextualSpacing w:val="0"/>
        <w:jc w:val="both"/>
      </w:pPr>
      <w:proofErr w:type="gramStart"/>
      <w:r>
        <w:t>de</w:t>
      </w:r>
      <w:proofErr w:type="gramEnd"/>
      <w:r>
        <w:t xml:space="preserve"> stages de formation à caractère professionnel ou personnel qui ne sont pas</w:t>
      </w:r>
      <w:r w:rsidR="0009776C">
        <w:t xml:space="preserve"> proposés par l'administration ;</w:t>
      </w:r>
    </w:p>
    <w:p w14:paraId="46971784" w14:textId="65187F0A" w:rsidR="002756A1" w:rsidRDefault="0009776C" w:rsidP="00384D71">
      <w:pPr>
        <w:pStyle w:val="Paragraphedeliste"/>
        <w:numPr>
          <w:ilvl w:val="0"/>
          <w:numId w:val="17"/>
        </w:numPr>
        <w:spacing w:before="120" w:after="0"/>
        <w:ind w:left="714" w:hanging="357"/>
        <w:contextualSpacing w:val="0"/>
        <w:jc w:val="both"/>
      </w:pPr>
      <w:proofErr w:type="gramStart"/>
      <w:r>
        <w:t>ou</w:t>
      </w:r>
      <w:proofErr w:type="gramEnd"/>
      <w:r>
        <w:t xml:space="preserve"> d’</w:t>
      </w:r>
      <w:r w:rsidR="002756A1">
        <w:t xml:space="preserve">actions organisées par l'administration en vue de la préparation aux </w:t>
      </w:r>
      <w:r>
        <w:t xml:space="preserve">examens et </w:t>
      </w:r>
      <w:r w:rsidR="002756A1">
        <w:t>concours administratifs.</w:t>
      </w:r>
    </w:p>
    <w:p w14:paraId="767B688F" w14:textId="77777777" w:rsidR="005501FB" w:rsidRDefault="002756A1" w:rsidP="002756A1">
      <w:pPr>
        <w:spacing w:before="120" w:after="0"/>
        <w:jc w:val="both"/>
      </w:pPr>
      <w:r>
        <w:t>Le congé de formation professionnelle est fractionnable dans la limite d’une durée maximale de 3 ans sur l’ensemble de la carrière</w:t>
      </w:r>
      <w:r w:rsidR="00D94CCC">
        <w:t xml:space="preserve">. </w:t>
      </w:r>
    </w:p>
    <w:p w14:paraId="1F1CFABD" w14:textId="7DF076BA" w:rsidR="001B6F52" w:rsidRDefault="005501FB" w:rsidP="002756A1">
      <w:pPr>
        <w:spacing w:before="120" w:after="0"/>
        <w:jc w:val="both"/>
      </w:pPr>
      <w:r w:rsidRPr="005501FB">
        <w:t>Le temps passé en congé de formation est valable pour l'ancienneté et entre en compte lors du calcul du minimum de temps requis pour postuler à une promotion de grade ou accéder à un corps hiérarchiquement supérieur. Il compte également pour le droit à pension et donne lieu aux retenues pour pension civile dans les conditio</w:t>
      </w:r>
      <w:r w:rsidR="00E018DA">
        <w:t>ns prévues à l'article L. 9 du C</w:t>
      </w:r>
      <w:r w:rsidRPr="005501FB">
        <w:t>ode des pensions civiles et militaires de retraite.</w:t>
      </w:r>
    </w:p>
    <w:p w14:paraId="59EF9D47" w14:textId="5174DBD6"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Qui peut mobiliser </w:t>
      </w:r>
      <w:r w:rsidR="00D94CCC" w:rsidRPr="003A4D35">
        <w:rPr>
          <w:b/>
          <w:color w:val="538135" w:themeColor="accent6" w:themeShade="BF"/>
          <w:sz w:val="24"/>
          <w:szCs w:val="24"/>
        </w:rPr>
        <w:t>un</w:t>
      </w:r>
      <w:r w:rsidR="00D94CCC">
        <w:rPr>
          <w:b/>
          <w:color w:val="538135" w:themeColor="accent6" w:themeShade="BF"/>
          <w:sz w:val="24"/>
          <w:szCs w:val="24"/>
        </w:rPr>
        <w:t xml:space="preserve"> </w:t>
      </w:r>
      <w:r w:rsidR="002756A1">
        <w:rPr>
          <w:b/>
          <w:color w:val="538135" w:themeColor="accent6" w:themeShade="BF"/>
          <w:sz w:val="24"/>
          <w:szCs w:val="24"/>
        </w:rPr>
        <w:t>congé de formation professionnel</w:t>
      </w:r>
      <w:r w:rsidR="0009776C">
        <w:rPr>
          <w:b/>
          <w:color w:val="538135" w:themeColor="accent6" w:themeShade="BF"/>
          <w:sz w:val="24"/>
          <w:szCs w:val="24"/>
        </w:rPr>
        <w:t>le</w:t>
      </w:r>
      <w:r w:rsidR="002756A1">
        <w:rPr>
          <w:b/>
          <w:color w:val="538135" w:themeColor="accent6" w:themeShade="BF"/>
          <w:sz w:val="24"/>
          <w:szCs w:val="24"/>
        </w:rPr>
        <w:t xml:space="preserve"> </w:t>
      </w:r>
      <w:r w:rsidRPr="003A4D35">
        <w:rPr>
          <w:b/>
          <w:color w:val="538135" w:themeColor="accent6" w:themeShade="BF"/>
          <w:sz w:val="24"/>
          <w:szCs w:val="24"/>
        </w:rPr>
        <w:t>?</w:t>
      </w:r>
    </w:p>
    <w:p w14:paraId="379359E2" w14:textId="53E59254" w:rsidR="007D2EC3" w:rsidRDefault="007D2EC3" w:rsidP="007D2EC3">
      <w:pPr>
        <w:spacing w:before="120" w:after="0"/>
        <w:jc w:val="both"/>
      </w:pPr>
      <w:r>
        <w:t>Le CFP ne peut être accordé qu’au</w:t>
      </w:r>
      <w:r w:rsidRPr="005501FB">
        <w:t xml:space="preserve"> fonctionnaire </w:t>
      </w:r>
      <w:r>
        <w:t>ayant</w:t>
      </w:r>
      <w:r w:rsidRPr="005501FB">
        <w:t xml:space="preserve"> accompli au moins </w:t>
      </w:r>
      <w:r w:rsidRPr="00862781">
        <w:rPr>
          <w:b/>
        </w:rPr>
        <w:t>l'équivalent de 3 années à temps plein de services effectifs dans l'administration</w:t>
      </w:r>
      <w:r w:rsidRPr="005501FB">
        <w:t>.</w:t>
      </w:r>
    </w:p>
    <w:p w14:paraId="216C523F" w14:textId="72A7AC37" w:rsidR="00D94CCC" w:rsidRDefault="002677F5" w:rsidP="00D94CCC">
      <w:pPr>
        <w:spacing w:before="120" w:after="0"/>
        <w:jc w:val="both"/>
      </w:pPr>
      <w:r w:rsidRPr="003602CC">
        <w:rPr>
          <w:u w:val="single"/>
        </w:rPr>
        <w:t>Public cible</w:t>
      </w:r>
      <w:r w:rsidRPr="003602CC">
        <w:rPr>
          <w:b/>
        </w:rPr>
        <w:t> </w:t>
      </w:r>
      <w:r>
        <w:t>:</w:t>
      </w:r>
      <w:r w:rsidR="00561206">
        <w:t xml:space="preserve"> le</w:t>
      </w:r>
      <w:r>
        <w:t xml:space="preserve"> </w:t>
      </w:r>
      <w:r w:rsidR="005501FB">
        <w:t>fonctionnaire</w:t>
      </w:r>
      <w:r w:rsidR="0002518E">
        <w:t xml:space="preserve"> qui</w:t>
      </w:r>
      <w:r w:rsidR="00D94CCC">
        <w:t xml:space="preserve"> </w:t>
      </w:r>
      <w:r w:rsidR="0002518E">
        <w:t xml:space="preserve">souhaite se réorienter et entamer une carrière dans un nouveau domaine de compétences </w:t>
      </w:r>
      <w:r w:rsidR="00C879CC">
        <w:t>ou environnement</w:t>
      </w:r>
      <w:r w:rsidR="0009776C">
        <w:t xml:space="preserve">, nécessitant </w:t>
      </w:r>
      <w:r w:rsidR="00E92118">
        <w:t>un temps de formation long</w:t>
      </w:r>
      <w:r w:rsidR="00C879CC">
        <w:t>.</w:t>
      </w:r>
      <w:r w:rsidR="0002518E">
        <w:t xml:space="preserve"> </w:t>
      </w:r>
    </w:p>
    <w:p w14:paraId="668BDF1F" w14:textId="150DA5AA" w:rsidR="003801DF" w:rsidRDefault="003801DF" w:rsidP="00D94CCC">
      <w:pPr>
        <w:spacing w:before="120" w:after="0"/>
        <w:jc w:val="both"/>
      </w:pPr>
      <w:r>
        <w:t>Il est possible de cumuler le congé de formation professionnel</w:t>
      </w:r>
      <w:r w:rsidR="00384D71">
        <w:t>le</w:t>
      </w:r>
      <w:r>
        <w:t xml:space="preserve"> avec le compte personnel de formation</w:t>
      </w:r>
      <w:r w:rsidR="00862781">
        <w:t xml:space="preserve"> (CPF)</w:t>
      </w:r>
      <w:r w:rsidR="00862781">
        <w:rPr>
          <w:rStyle w:val="Appelnotedebasdep"/>
        </w:rPr>
        <w:footnoteReference w:id="1"/>
      </w:r>
      <w:r>
        <w:t xml:space="preserve">. </w:t>
      </w:r>
    </w:p>
    <w:p w14:paraId="67702042" w14:textId="77777777" w:rsidR="000F361A" w:rsidRDefault="000F361A" w:rsidP="000F361A">
      <w:pPr>
        <w:spacing w:before="120" w:after="0"/>
        <w:jc w:val="both"/>
        <w:rPr>
          <w:b/>
        </w:rPr>
      </w:pPr>
    </w:p>
    <w:p w14:paraId="16C0C8D3" w14:textId="7E539460" w:rsidR="000F361A" w:rsidRDefault="000F361A" w:rsidP="000F361A">
      <w:pPr>
        <w:spacing w:before="120" w:after="0"/>
        <w:jc w:val="both"/>
      </w:pPr>
      <w:r w:rsidRPr="00E373D1">
        <w:rPr>
          <w:b/>
        </w:rPr>
        <w:t>À noter</w:t>
      </w:r>
      <w:r>
        <w:t> : pour les enseignants, ce dispositif a été adapté. Il s’agit du congé de mobilité &gt; voir en page 4.</w:t>
      </w:r>
    </w:p>
    <w:p w14:paraId="47993337" w14:textId="331514E1" w:rsidR="00234CD3" w:rsidRDefault="00234CD3" w:rsidP="00D94CCC">
      <w:pPr>
        <w:spacing w:before="120" w:after="0"/>
        <w:jc w:val="both"/>
      </w:pPr>
    </w:p>
    <w:p w14:paraId="4ACEBCB3" w14:textId="382AB170" w:rsidR="00234CD3" w:rsidRDefault="00234CD3" w:rsidP="00D94CCC">
      <w:pPr>
        <w:spacing w:before="120" w:after="0"/>
        <w:jc w:val="both"/>
      </w:pPr>
    </w:p>
    <w:p w14:paraId="58E5F66B" w14:textId="77777777" w:rsidR="00234CD3" w:rsidRDefault="00234CD3" w:rsidP="00D94CCC">
      <w:pPr>
        <w:spacing w:before="120" w:after="0"/>
        <w:jc w:val="both"/>
      </w:pPr>
    </w:p>
    <w:p w14:paraId="171CDE40" w14:textId="0244F9D1" w:rsidR="00AE3D39" w:rsidRPr="003A4D35" w:rsidRDefault="00AE3D39"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lastRenderedPageBreak/>
        <w:t xml:space="preserve">Comment se déroule </w:t>
      </w:r>
      <w:r w:rsidR="00E92118" w:rsidRPr="003A4D35">
        <w:rPr>
          <w:b/>
          <w:color w:val="538135" w:themeColor="accent6" w:themeShade="BF"/>
          <w:sz w:val="24"/>
          <w:szCs w:val="24"/>
        </w:rPr>
        <w:t>un</w:t>
      </w:r>
      <w:r w:rsidR="00E92118" w:rsidRPr="002756A1">
        <w:rPr>
          <w:b/>
          <w:color w:val="538135" w:themeColor="accent6" w:themeShade="BF"/>
          <w:sz w:val="24"/>
          <w:szCs w:val="24"/>
        </w:rPr>
        <w:t xml:space="preserve"> </w:t>
      </w:r>
      <w:r w:rsidR="00E92118">
        <w:rPr>
          <w:b/>
          <w:color w:val="538135" w:themeColor="accent6" w:themeShade="BF"/>
          <w:sz w:val="24"/>
          <w:szCs w:val="24"/>
        </w:rPr>
        <w:t>congé de formation professionnel</w:t>
      </w:r>
      <w:r w:rsidR="00862781">
        <w:rPr>
          <w:b/>
          <w:color w:val="538135" w:themeColor="accent6" w:themeShade="BF"/>
          <w:sz w:val="24"/>
          <w:szCs w:val="24"/>
        </w:rPr>
        <w:t>le</w:t>
      </w:r>
      <w:r w:rsidR="00E92118">
        <w:rPr>
          <w:b/>
          <w:color w:val="538135" w:themeColor="accent6" w:themeShade="BF"/>
          <w:sz w:val="24"/>
          <w:szCs w:val="24"/>
        </w:rPr>
        <w:t xml:space="preserve"> </w:t>
      </w:r>
      <w:r w:rsidRPr="003A4D35">
        <w:rPr>
          <w:b/>
          <w:color w:val="538135" w:themeColor="accent6" w:themeShade="BF"/>
          <w:sz w:val="24"/>
          <w:szCs w:val="24"/>
        </w:rPr>
        <w:t>?</w:t>
      </w:r>
    </w:p>
    <w:p w14:paraId="3C1249F3" w14:textId="00EA03E7" w:rsidR="00E92118" w:rsidRDefault="00E92118" w:rsidP="0009776C">
      <w:pPr>
        <w:spacing w:before="120" w:after="0"/>
        <w:jc w:val="both"/>
      </w:pPr>
      <w:r>
        <w:t>Durant son congé de formation professionnelle, l’agent perçoit</w:t>
      </w:r>
      <w:r w:rsidR="00384D71">
        <w:t>,</w:t>
      </w:r>
      <w:r w:rsidR="00384D71" w:rsidRPr="00384D71">
        <w:t xml:space="preserve"> </w:t>
      </w:r>
      <w:r w:rsidR="00384D71">
        <w:t xml:space="preserve">pendant une durée limitée à 12 mois, </w:t>
      </w:r>
      <w:r>
        <w:t xml:space="preserve">une indemnité mensuelle forfaitaire </w:t>
      </w:r>
      <w:r w:rsidR="0009776C">
        <w:t>correspondant à :</w:t>
      </w:r>
    </w:p>
    <w:p w14:paraId="24ABC7C5" w14:textId="77777777" w:rsidR="00E92118" w:rsidRDefault="00E92118" w:rsidP="0009776C">
      <w:pPr>
        <w:pStyle w:val="Paragraphedeliste"/>
        <w:numPr>
          <w:ilvl w:val="0"/>
          <w:numId w:val="16"/>
        </w:numPr>
        <w:spacing w:before="60" w:after="0"/>
        <w:ind w:left="760" w:hanging="357"/>
        <w:contextualSpacing w:val="0"/>
        <w:jc w:val="both"/>
      </w:pPr>
      <w:r>
        <w:t>85% du traitement brut ;</w:t>
      </w:r>
    </w:p>
    <w:p w14:paraId="6D1B97E5" w14:textId="41911E90" w:rsidR="00E92118" w:rsidRDefault="00E92118" w:rsidP="0009776C">
      <w:pPr>
        <w:pStyle w:val="Paragraphedeliste"/>
        <w:numPr>
          <w:ilvl w:val="0"/>
          <w:numId w:val="16"/>
        </w:numPr>
        <w:spacing w:before="60" w:after="0"/>
        <w:ind w:left="760" w:hanging="357"/>
        <w:contextualSpacing w:val="0"/>
        <w:jc w:val="both"/>
      </w:pPr>
      <w:r>
        <w:t>L’indemnité de résidence afférent à l’indice qu’il détenait</w:t>
      </w:r>
      <w:r w:rsidR="0009776C">
        <w:t xml:space="preserve"> au moment de sa mise en congé.</w:t>
      </w:r>
    </w:p>
    <w:p w14:paraId="569F2965" w14:textId="77777777" w:rsidR="00E92118" w:rsidRDefault="00E92118" w:rsidP="0009776C">
      <w:pPr>
        <w:spacing w:before="120" w:after="0"/>
        <w:jc w:val="both"/>
      </w:pPr>
      <w:r>
        <w:t>Le fonctionnaire doit, à la fin de chaque mois, et au moment de la reprise du travail, remettre à l’administration une attestation de présence effective en formation.</w:t>
      </w:r>
    </w:p>
    <w:p w14:paraId="3303F59D" w14:textId="65CA5141" w:rsidR="00E92118" w:rsidRPr="009C6C08" w:rsidRDefault="00E018DA" w:rsidP="0009776C">
      <w:pPr>
        <w:spacing w:before="120" w:after="0"/>
        <w:jc w:val="both"/>
        <w:rPr>
          <w:b/>
        </w:rPr>
      </w:pPr>
      <w:r>
        <w:rPr>
          <w:b/>
        </w:rPr>
        <w:t>À</w:t>
      </w:r>
      <w:r w:rsidR="00E92118" w:rsidRPr="009C6C08">
        <w:rPr>
          <w:b/>
        </w:rPr>
        <w:t xml:space="preserve"> l’issu</w:t>
      </w:r>
      <w:r w:rsidR="008B04F4" w:rsidRPr="009C6C08">
        <w:rPr>
          <w:b/>
        </w:rPr>
        <w:t>e</w:t>
      </w:r>
      <w:r w:rsidR="00E92118" w:rsidRPr="009C6C08">
        <w:rPr>
          <w:b/>
        </w:rPr>
        <w:t xml:space="preserve"> de son congé de formation professionnelle, l’agent s’engage à rester au service de l’administration pendant une durée égale au triple de celle pendant laquelle il a perçu l’indemnité (soit au maximum 3 ans). </w:t>
      </w:r>
    </w:p>
    <w:p w14:paraId="39F24D6B" w14:textId="77777777" w:rsidR="00E92118" w:rsidRDefault="00E92118" w:rsidP="0009776C">
      <w:pPr>
        <w:spacing w:before="120" w:after="0"/>
        <w:jc w:val="both"/>
      </w:pPr>
      <w:r>
        <w:t xml:space="preserve">Au terme du congé de formation professionnelle, l’agent reprend un emploi, sans disposer de garantie quant à la possibilité d’exercer l’emploi qu’il occupait précédemment avant son départ en congé de formation professionnelle. </w:t>
      </w:r>
    </w:p>
    <w:p w14:paraId="1F90E35B" w14:textId="7205B18C" w:rsidR="00E92118" w:rsidRDefault="00E92118" w:rsidP="0009776C">
      <w:pPr>
        <w:spacing w:before="120" w:after="0"/>
        <w:jc w:val="both"/>
      </w:pPr>
      <w:r>
        <w:t xml:space="preserve">Si à l’issue de son congé, l’agent est affecté à un emploi situé dans une localité différente de celle où il exerçait ses fonctions lors de la mise en congé, il perçoit les indemnités pour frais de changement de résidence, sauf si le déplacement a lieu à sa demande. </w:t>
      </w:r>
    </w:p>
    <w:p w14:paraId="5F79327B" w14:textId="77777777" w:rsidR="009C6C08" w:rsidRDefault="009C6C08" w:rsidP="0009776C">
      <w:pPr>
        <w:spacing w:before="120" w:after="0"/>
        <w:jc w:val="both"/>
      </w:pPr>
    </w:p>
    <w:tbl>
      <w:tblPr>
        <w:tblStyle w:val="Grilledutableau"/>
        <w:tblW w:w="0" w:type="auto"/>
        <w:tblLook w:val="04A0" w:firstRow="1" w:lastRow="0" w:firstColumn="1" w:lastColumn="0" w:noHBand="0" w:noVBand="1"/>
      </w:tblPr>
      <w:tblGrid>
        <w:gridCol w:w="9062"/>
      </w:tblGrid>
      <w:tr w:rsidR="009C6C08" w14:paraId="4E843055" w14:textId="77777777" w:rsidTr="009C6C08">
        <w:tc>
          <w:tcPr>
            <w:tcW w:w="9062" w:type="dxa"/>
          </w:tcPr>
          <w:p w14:paraId="631B9167" w14:textId="5912324B" w:rsidR="009C6C08" w:rsidRDefault="009C6C08" w:rsidP="009C6C08">
            <w:pPr>
              <w:spacing w:before="120"/>
              <w:jc w:val="both"/>
            </w:pPr>
            <w:r>
              <w:rPr>
                <w:b/>
                <w:color w:val="538135" w:themeColor="accent6" w:themeShade="BF"/>
                <w:sz w:val="24"/>
                <w:szCs w:val="24"/>
              </w:rPr>
              <w:t>Pour les agents dont les droits à formation sont renforcés</w:t>
            </w:r>
            <w:r>
              <w:rPr>
                <w:rStyle w:val="Appelnotedebasdep"/>
                <w:b/>
                <w:color w:val="538135" w:themeColor="accent6" w:themeShade="BF"/>
                <w:sz w:val="24"/>
                <w:szCs w:val="24"/>
              </w:rPr>
              <w:footnoteReference w:id="2"/>
            </w:r>
            <w:r>
              <w:rPr>
                <w:b/>
                <w:color w:val="538135" w:themeColor="accent6" w:themeShade="BF"/>
                <w:sz w:val="24"/>
                <w:szCs w:val="24"/>
              </w:rPr>
              <w:t xml:space="preserve"> : </w:t>
            </w:r>
            <w:r w:rsidR="00B26C57">
              <w:t>l</w:t>
            </w:r>
            <w:r>
              <w:t>’agent bénéficie pendant une durée de 24 mois d’une</w:t>
            </w:r>
            <w:r w:rsidRPr="00561206">
              <w:t xml:space="preserve"> indemnité mensuelle forfaitaire correspondant à :</w:t>
            </w:r>
            <w:r>
              <w:t xml:space="preserve"> </w:t>
            </w:r>
          </w:p>
          <w:p w14:paraId="33A6185A" w14:textId="77777777" w:rsidR="009C6C08" w:rsidRDefault="009C6C08" w:rsidP="009C6C08">
            <w:pPr>
              <w:pStyle w:val="Paragraphedeliste"/>
              <w:numPr>
                <w:ilvl w:val="0"/>
                <w:numId w:val="20"/>
              </w:numPr>
              <w:spacing w:before="60"/>
              <w:ind w:left="714" w:hanging="357"/>
              <w:contextualSpacing w:val="0"/>
              <w:jc w:val="both"/>
            </w:pPr>
            <w:r>
              <w:t>100% du traitement brut et IR pendant 12 mois ;</w:t>
            </w:r>
          </w:p>
          <w:p w14:paraId="0600F8CF" w14:textId="6F2F2102" w:rsidR="009C6C08" w:rsidRDefault="009C6C08" w:rsidP="009C6C08">
            <w:pPr>
              <w:pStyle w:val="Paragraphedeliste"/>
              <w:numPr>
                <w:ilvl w:val="0"/>
                <w:numId w:val="20"/>
              </w:numPr>
              <w:spacing w:before="60"/>
              <w:ind w:left="714" w:hanging="357"/>
              <w:contextualSpacing w:val="0"/>
              <w:jc w:val="both"/>
            </w:pPr>
            <w:r>
              <w:t>85% du traitement brut et IR pendant les 12 mois suivants.</w:t>
            </w:r>
          </w:p>
          <w:p w14:paraId="0A96284F" w14:textId="05FA3237" w:rsidR="009C6C08" w:rsidRDefault="00E018DA" w:rsidP="0009776C">
            <w:pPr>
              <w:spacing w:before="120"/>
              <w:jc w:val="both"/>
            </w:pPr>
            <w:r>
              <w:t xml:space="preserve">À </w:t>
            </w:r>
            <w:r w:rsidR="009C6C08" w:rsidRPr="00561206">
              <w:t xml:space="preserve">l’issue de son congé de formation professionnelle, l’agent s’engage à rester au service de l’administration pendant une durée égale au triple de celle pendant laquelle il a perçu l’indemnité </w:t>
            </w:r>
            <w:r w:rsidR="009C6C08">
              <w:t>mais ne pouvant pas excéder 36 mois.</w:t>
            </w:r>
          </w:p>
          <w:p w14:paraId="030AC069" w14:textId="7004FE21" w:rsidR="009C6C08" w:rsidRPr="009C6C08" w:rsidRDefault="009C6C08" w:rsidP="009C6C08">
            <w:pPr>
              <w:jc w:val="both"/>
            </w:pPr>
          </w:p>
        </w:tc>
      </w:tr>
    </w:tbl>
    <w:p w14:paraId="1AA06806" w14:textId="77777777" w:rsidR="0009776C" w:rsidRPr="003A4D35" w:rsidRDefault="0009776C" w:rsidP="0009776C">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Comment mobiliser un</w:t>
      </w:r>
      <w:r w:rsidRPr="002756A1">
        <w:rPr>
          <w:b/>
          <w:color w:val="538135" w:themeColor="accent6" w:themeShade="BF"/>
          <w:sz w:val="24"/>
          <w:szCs w:val="24"/>
        </w:rPr>
        <w:t xml:space="preserve"> </w:t>
      </w:r>
      <w:r>
        <w:rPr>
          <w:b/>
          <w:color w:val="538135" w:themeColor="accent6" w:themeShade="BF"/>
          <w:sz w:val="24"/>
          <w:szCs w:val="24"/>
        </w:rPr>
        <w:t xml:space="preserve">congé de formation professionnelle </w:t>
      </w:r>
      <w:r w:rsidRPr="003A4D35">
        <w:rPr>
          <w:b/>
          <w:color w:val="538135" w:themeColor="accent6" w:themeShade="BF"/>
          <w:sz w:val="24"/>
          <w:szCs w:val="24"/>
        </w:rPr>
        <w:t>?</w:t>
      </w:r>
    </w:p>
    <w:p w14:paraId="6EAD1A3B" w14:textId="1998C2F4" w:rsidR="00EF4F3C" w:rsidRDefault="009459F4" w:rsidP="0009776C">
      <w:pPr>
        <w:spacing w:before="120" w:after="0"/>
        <w:jc w:val="both"/>
      </w:pPr>
      <w:r>
        <w:t>Le congé de formation professionnelle a un impact sur la situation de l’agent mais également sur l’organisation de la structure. Une demande de CFP doit donc être préparée en amont afin de s’assurer que ce dispositif est adapté</w:t>
      </w:r>
      <w:r w:rsidR="00EF4F3C">
        <w:t xml:space="preserve"> au projet professionnel de l’agent. Un échange avec l’IGAPS et le DRFC préalablement au dépôt d’une demand</w:t>
      </w:r>
      <w:r w:rsidR="002F239C">
        <w:t>e est donc fortement recommandé</w:t>
      </w:r>
      <w:r w:rsidR="003A340C">
        <w:t xml:space="preserve"> afin </w:t>
      </w:r>
      <w:r w:rsidR="00CE212F">
        <w:t>d’apporter des conseils à</w:t>
      </w:r>
      <w:r w:rsidR="003A340C">
        <w:t xml:space="preserve"> l’agent sur le projet envisagé</w:t>
      </w:r>
      <w:r w:rsidR="00CE212F">
        <w:t xml:space="preserve"> au regard de son parcours professionnel</w:t>
      </w:r>
      <w:r w:rsidR="004323E3">
        <w:t xml:space="preserve"> et rappeler</w:t>
      </w:r>
      <w:r w:rsidR="003A340C">
        <w:t xml:space="preserve"> les obligations de service engendrées par le CFP</w:t>
      </w:r>
      <w:r w:rsidR="00EF4F3C">
        <w:t xml:space="preserve">. </w:t>
      </w:r>
    </w:p>
    <w:p w14:paraId="71F714A3" w14:textId="094FDAFA" w:rsidR="00EF4F3C" w:rsidRDefault="00EF4F3C" w:rsidP="0009776C">
      <w:pPr>
        <w:spacing w:before="120" w:after="0"/>
        <w:jc w:val="both"/>
      </w:pPr>
      <w:r>
        <w:t>La formation professionnelle envisagée ne fera pas l’objet d’une prise en charge financière par l’administration. Toutefois, l’agent peut demander de coupler le congé de formation professionnelle avec le CPF</w:t>
      </w:r>
      <w:r w:rsidR="004323E3">
        <w:t xml:space="preserve"> dont la demande fait l’objet d’une procédure particulière</w:t>
      </w:r>
      <w:r>
        <w:t xml:space="preserve"> (fiche n°8). </w:t>
      </w:r>
    </w:p>
    <w:p w14:paraId="7E4A9FD3" w14:textId="43D37E79" w:rsidR="003801DF" w:rsidRDefault="003801DF" w:rsidP="0009776C">
      <w:pPr>
        <w:spacing w:before="120" w:after="0"/>
        <w:jc w:val="both"/>
      </w:pPr>
      <w:r>
        <w:t>La demande de congé de formation professionnelle doit être formulé</w:t>
      </w:r>
      <w:r w:rsidR="00EF4F3C">
        <w:t>e</w:t>
      </w:r>
      <w:r>
        <w:t xml:space="preserve"> </w:t>
      </w:r>
      <w:r w:rsidR="00384D71">
        <w:t xml:space="preserve">au moins 120 jours avant </w:t>
      </w:r>
      <w:r w:rsidR="00EF4F3C">
        <w:t xml:space="preserve">le démarrage de </w:t>
      </w:r>
      <w:r>
        <w:t>la formation</w:t>
      </w:r>
      <w:r w:rsidR="00EF4F3C">
        <w:t xml:space="preserve">. Elle </w:t>
      </w:r>
      <w:r w:rsidR="003A340C">
        <w:t>sera examinée</w:t>
      </w:r>
      <w:r w:rsidR="00EF4F3C">
        <w:t xml:space="preserve"> par</w:t>
      </w:r>
      <w:r>
        <w:t xml:space="preserve"> : </w:t>
      </w:r>
    </w:p>
    <w:p w14:paraId="5D20F316" w14:textId="4ADE679C" w:rsidR="003801DF" w:rsidRDefault="003801DF" w:rsidP="00384D71">
      <w:pPr>
        <w:pStyle w:val="Paragraphedeliste"/>
        <w:numPr>
          <w:ilvl w:val="0"/>
          <w:numId w:val="18"/>
        </w:numPr>
        <w:spacing w:before="120" w:after="0"/>
        <w:ind w:left="714" w:hanging="357"/>
        <w:contextualSpacing w:val="0"/>
        <w:jc w:val="both"/>
      </w:pPr>
      <w:r>
        <w:lastRenderedPageBreak/>
        <w:t xml:space="preserve">Le supérieur hiérarchique </w:t>
      </w:r>
      <w:r w:rsidR="00EF4F3C">
        <w:t xml:space="preserve">au regard de </w:t>
      </w:r>
      <w:r>
        <w:t xml:space="preserve">la disponibilité de l’agent et </w:t>
      </w:r>
      <w:r w:rsidR="00EF4F3C">
        <w:t>l’impact du départ en congés sur</w:t>
      </w:r>
      <w:r>
        <w:t xml:space="preserve"> l’organisation du service notamment lorsque le congé de formation professionnelle est fractionné. </w:t>
      </w:r>
      <w:r w:rsidR="007D2EC3">
        <w:t>La sati</w:t>
      </w:r>
      <w:r w:rsidR="002F239C">
        <w:t>sfaction de la demande de congé</w:t>
      </w:r>
      <w:r w:rsidR="007D2EC3">
        <w:t xml:space="preserve"> de formation professionnelle peut ainsi être différé</w:t>
      </w:r>
      <w:r w:rsidR="003A340C">
        <w:t>e</w:t>
      </w:r>
      <w:r w:rsidR="007D2EC3">
        <w:t xml:space="preserve"> pour nécessité de service</w:t>
      </w:r>
      <w:r w:rsidR="00B26C57">
        <w:t>.</w:t>
      </w:r>
    </w:p>
    <w:p w14:paraId="3C2548C9" w14:textId="6A652904" w:rsidR="003801DF" w:rsidRDefault="003A340C" w:rsidP="003A340C">
      <w:pPr>
        <w:pStyle w:val="Paragraphedeliste"/>
        <w:numPr>
          <w:ilvl w:val="0"/>
          <w:numId w:val="18"/>
        </w:numPr>
        <w:spacing w:before="120" w:after="0"/>
        <w:contextualSpacing w:val="0"/>
        <w:jc w:val="both"/>
      </w:pPr>
      <w:r>
        <w:t xml:space="preserve">Le responsable du programme d’affectation de l’agent qui se prononcera notamment sur la capacité de remplacement de l’agent pendant son congé de formation professionnelle et la disponibilité des crédits, dans les conditions fixées à l’article 27 du décret </w:t>
      </w:r>
      <w:r w:rsidRPr="003A340C">
        <w:t>n°2007-1470 du 15 octobre 2007 modifié</w:t>
      </w:r>
      <w:r>
        <w:t xml:space="preserve"> </w:t>
      </w:r>
      <w:r>
        <w:rPr>
          <w:rStyle w:val="Appelnotedebasdep"/>
        </w:rPr>
        <w:footnoteReference w:id="3"/>
      </w:r>
      <w:r>
        <w:t>.</w:t>
      </w:r>
    </w:p>
    <w:p w14:paraId="6DA4699E" w14:textId="1C3BF14B" w:rsidR="00265231" w:rsidRDefault="00265231" w:rsidP="00265231">
      <w:pPr>
        <w:spacing w:before="120" w:after="0"/>
        <w:jc w:val="both"/>
      </w:pPr>
      <w:r>
        <w:t xml:space="preserve">Si le congé de formation professionnelle est accepté, </w:t>
      </w:r>
      <w:r w:rsidR="009D0418">
        <w:t xml:space="preserve">le </w:t>
      </w:r>
      <w:r w:rsidR="003A340C">
        <w:t>bureau gestionnaire du</w:t>
      </w:r>
      <w:r w:rsidR="009D0418">
        <w:t xml:space="preserve"> corps</w:t>
      </w:r>
      <w:r w:rsidR="003A340C">
        <w:t xml:space="preserve"> de l’agent </w:t>
      </w:r>
      <w:r w:rsidR="003725EE">
        <w:t>prendra un arrêté de situation.</w:t>
      </w:r>
      <w:r>
        <w:t xml:space="preserve"> </w:t>
      </w:r>
    </w:p>
    <w:p w14:paraId="4B5D078D" w14:textId="2E985B36" w:rsidR="00A52441" w:rsidRDefault="00A52441" w:rsidP="00A52441">
      <w:pPr>
        <w:spacing w:before="120" w:after="0"/>
        <w:jc w:val="center"/>
      </w:pPr>
      <w:r w:rsidRPr="00146FD5">
        <w:rPr>
          <w:highlight w:val="green"/>
        </w:rPr>
        <w:t xml:space="preserve">Formulaire de </w:t>
      </w:r>
      <w:r w:rsidRPr="00A52441">
        <w:rPr>
          <w:highlight w:val="green"/>
        </w:rPr>
        <w:t>demande de congé de formation professionnelle</w:t>
      </w:r>
      <w:r w:rsidR="007711E6" w:rsidRPr="007711E6">
        <w:rPr>
          <w:highlight w:val="green"/>
        </w:rPr>
        <w:t xml:space="preserve"> disponible sur le site </w:t>
      </w:r>
      <w:proofErr w:type="spellStart"/>
      <w:r w:rsidR="007711E6" w:rsidRPr="007711E6">
        <w:rPr>
          <w:highlight w:val="green"/>
        </w:rPr>
        <w:t>FormCo</w:t>
      </w:r>
      <w:proofErr w:type="spellEnd"/>
      <w:r w:rsidR="007711E6">
        <w:rPr>
          <w:rStyle w:val="Appelnotedebasdep"/>
          <w:highlight w:val="green"/>
        </w:rPr>
        <w:footnoteReference w:id="4"/>
      </w:r>
    </w:p>
    <w:p w14:paraId="2432624B" w14:textId="3962E15F" w:rsidR="00CE212F" w:rsidRDefault="00CE212F">
      <w:pPr>
        <w:rPr>
          <w:b/>
          <w:color w:val="538135" w:themeColor="accent6" w:themeShade="BF"/>
          <w:sz w:val="24"/>
          <w:szCs w:val="24"/>
        </w:rPr>
      </w:pPr>
    </w:p>
    <w:p w14:paraId="210763B1" w14:textId="57A9743E" w:rsidR="00BB6C15" w:rsidRPr="003A4D35" w:rsidRDefault="00BB6C15" w:rsidP="00BB6C1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Pour aller plus loin…</w:t>
      </w:r>
      <w:r w:rsidR="001E496A">
        <w:rPr>
          <w:b/>
          <w:color w:val="538135" w:themeColor="accent6" w:themeShade="BF"/>
          <w:sz w:val="24"/>
          <w:szCs w:val="24"/>
        </w:rPr>
        <w:t xml:space="preserve"> sur le congé de formation professionnelle</w:t>
      </w:r>
    </w:p>
    <w:p w14:paraId="1E1964A8" w14:textId="6FC51C2D" w:rsidR="00BB6C15" w:rsidRDefault="00BB6C15" w:rsidP="00BB6C15">
      <w:pPr>
        <w:pStyle w:val="Paragraphedeliste"/>
        <w:numPr>
          <w:ilvl w:val="0"/>
          <w:numId w:val="14"/>
        </w:numPr>
        <w:spacing w:before="120" w:after="0"/>
        <w:ind w:left="426" w:hanging="357"/>
        <w:contextualSpacing w:val="0"/>
        <w:jc w:val="both"/>
      </w:pPr>
      <w:r>
        <w:t>Article</w:t>
      </w:r>
      <w:r w:rsidR="00653ED7">
        <w:t>s</w:t>
      </w:r>
      <w:r>
        <w:t xml:space="preserve"> </w:t>
      </w:r>
      <w:r w:rsidR="00653ED7">
        <w:t>L</w:t>
      </w:r>
      <w:r w:rsidR="00F361F3">
        <w:t xml:space="preserve">. </w:t>
      </w:r>
      <w:r w:rsidR="00653ED7">
        <w:t xml:space="preserve">422-1 et suivants du code général de la fonction publique </w:t>
      </w:r>
      <w:r>
        <w:t>;</w:t>
      </w:r>
    </w:p>
    <w:p w14:paraId="67C77A96" w14:textId="29D7EFB6" w:rsidR="00E92118" w:rsidRDefault="00E92118" w:rsidP="00F361F3">
      <w:pPr>
        <w:pStyle w:val="Paragraphedeliste"/>
        <w:numPr>
          <w:ilvl w:val="0"/>
          <w:numId w:val="14"/>
        </w:numPr>
        <w:spacing w:before="120" w:after="0"/>
        <w:ind w:left="426" w:hanging="357"/>
        <w:contextualSpacing w:val="0"/>
        <w:jc w:val="both"/>
      </w:pPr>
      <w:r>
        <w:t>Article 34</w:t>
      </w:r>
      <w:r w:rsidR="00F361F3">
        <w:t>,</w:t>
      </w:r>
      <w:r>
        <w:t xml:space="preserve"> 6° </w:t>
      </w:r>
      <w:r w:rsidRPr="00FD6B73">
        <w:t>de la loi n° 84-16 du 11 janvier 1984 modifiée portant dispositions statutaires relatives à la fonction publique de l'Etat ;</w:t>
      </w:r>
    </w:p>
    <w:p w14:paraId="6AB6B0BE" w14:textId="77777777" w:rsidR="00E92118" w:rsidRDefault="00E92118" w:rsidP="00F361F3">
      <w:pPr>
        <w:pStyle w:val="Paragraphedeliste"/>
        <w:numPr>
          <w:ilvl w:val="0"/>
          <w:numId w:val="14"/>
        </w:numPr>
        <w:spacing w:before="120" w:after="0"/>
        <w:ind w:left="426" w:hanging="357"/>
        <w:contextualSpacing w:val="0"/>
        <w:jc w:val="both"/>
      </w:pPr>
      <w:r>
        <w:t>Articles 24 à 30 du décret n°2007-1470 du 15 octobre 2007 modifié relatif à la formation professionnelle tout au long de la vie des fonctionnaires de l’Etat ;</w:t>
      </w:r>
    </w:p>
    <w:p w14:paraId="7DA76A92" w14:textId="77777777" w:rsidR="00E92118" w:rsidRDefault="00E92118" w:rsidP="00F361F3">
      <w:pPr>
        <w:pStyle w:val="Paragraphedeliste"/>
        <w:numPr>
          <w:ilvl w:val="0"/>
          <w:numId w:val="14"/>
        </w:numPr>
        <w:spacing w:before="120" w:after="0"/>
        <w:ind w:left="426" w:hanging="357"/>
        <w:contextualSpacing w:val="0"/>
        <w:jc w:val="both"/>
      </w:pPr>
      <w:r>
        <w:t>Article 10 du décret n°2007-1942 du 26 décembre 2007 relatif à la formation professionnelle des agents non titulaires de l’Etat […] ;</w:t>
      </w:r>
    </w:p>
    <w:p w14:paraId="50E1214D" w14:textId="55022141" w:rsidR="00310062" w:rsidRDefault="00E92118" w:rsidP="00C721DB">
      <w:pPr>
        <w:pStyle w:val="Paragraphedeliste"/>
        <w:numPr>
          <w:ilvl w:val="0"/>
          <w:numId w:val="14"/>
        </w:numPr>
        <w:spacing w:before="120" w:after="0"/>
        <w:ind w:left="426" w:hanging="357"/>
        <w:contextualSpacing w:val="0"/>
        <w:jc w:val="both"/>
      </w:pPr>
      <w:r w:rsidRPr="00FD6B73">
        <w:t xml:space="preserve">Article 1 </w:t>
      </w:r>
      <w:r>
        <w:t>6</w:t>
      </w:r>
      <w:r w:rsidRPr="00FD6B73">
        <w:t>° de l’arrêté du 29 décembre 2016 portant déconcentration des actes relatifs à la situation individuelle des agents publics exerçant leurs fonctions dans les services déconcentrés des adminis</w:t>
      </w:r>
      <w:r w:rsidR="00F361F3">
        <w:t>trations civiles de l'Etat […].</w:t>
      </w:r>
    </w:p>
    <w:p w14:paraId="148C5A98" w14:textId="2CB22AB8" w:rsidR="00C951C9" w:rsidRDefault="00C951C9">
      <w:pPr>
        <w:rPr>
          <w:b/>
          <w:color w:val="538135" w:themeColor="accent6" w:themeShade="BF"/>
          <w:sz w:val="28"/>
          <w:szCs w:val="28"/>
        </w:rPr>
      </w:pPr>
    </w:p>
    <w:p w14:paraId="056DA44F" w14:textId="52E292B1" w:rsidR="00E018DA" w:rsidRDefault="00E018DA">
      <w:pPr>
        <w:rPr>
          <w:b/>
          <w:color w:val="538135" w:themeColor="accent6" w:themeShade="BF"/>
          <w:sz w:val="28"/>
          <w:szCs w:val="28"/>
        </w:rPr>
      </w:pPr>
    </w:p>
    <w:p w14:paraId="59226EC9" w14:textId="1900F0BC" w:rsidR="00C951C9" w:rsidRDefault="00C951C9">
      <w:pPr>
        <w:rPr>
          <w:b/>
          <w:color w:val="538135" w:themeColor="accent6" w:themeShade="BF"/>
          <w:sz w:val="28"/>
          <w:szCs w:val="28"/>
        </w:rPr>
      </w:pPr>
    </w:p>
    <w:p w14:paraId="54201C5C" w14:textId="6EECDADF" w:rsidR="00C951C9" w:rsidRDefault="00C951C9">
      <w:pPr>
        <w:rPr>
          <w:b/>
          <w:color w:val="538135" w:themeColor="accent6" w:themeShade="BF"/>
          <w:sz w:val="28"/>
          <w:szCs w:val="28"/>
        </w:rPr>
      </w:pPr>
    </w:p>
    <w:p w14:paraId="0F959AF8" w14:textId="7966DC9B" w:rsidR="00C951C9" w:rsidRDefault="00C951C9">
      <w:pPr>
        <w:rPr>
          <w:b/>
          <w:color w:val="538135" w:themeColor="accent6" w:themeShade="BF"/>
          <w:sz w:val="28"/>
          <w:szCs w:val="28"/>
        </w:rPr>
      </w:pPr>
    </w:p>
    <w:p w14:paraId="7A2A0F34" w14:textId="3A96497C" w:rsidR="00C951C9" w:rsidRDefault="00C951C9">
      <w:pPr>
        <w:rPr>
          <w:b/>
          <w:color w:val="538135" w:themeColor="accent6" w:themeShade="BF"/>
          <w:sz w:val="28"/>
          <w:szCs w:val="28"/>
        </w:rPr>
      </w:pPr>
    </w:p>
    <w:p w14:paraId="328DDCCF" w14:textId="24313892" w:rsidR="00C951C9" w:rsidRDefault="00234CD3">
      <w:pPr>
        <w:rPr>
          <w:b/>
          <w:color w:val="538135" w:themeColor="accent6" w:themeShade="BF"/>
          <w:sz w:val="28"/>
          <w:szCs w:val="28"/>
        </w:rPr>
      </w:pPr>
      <w:r>
        <w:rPr>
          <w:b/>
          <w:noProof/>
          <w:color w:val="538135" w:themeColor="accent6" w:themeShade="BF"/>
          <w:sz w:val="28"/>
          <w:szCs w:val="28"/>
          <w:lang w:eastAsia="fr-FR"/>
        </w:rPr>
        <mc:AlternateContent>
          <mc:Choice Requires="wps">
            <w:drawing>
              <wp:anchor distT="0" distB="0" distL="114300" distR="114300" simplePos="0" relativeHeight="251659264" behindDoc="0" locked="0" layoutInCell="1" allowOverlap="1" wp14:anchorId="05403910" wp14:editId="0B9EFC6E">
                <wp:simplePos x="0" y="0"/>
                <wp:positionH relativeFrom="column">
                  <wp:posOffset>4053205</wp:posOffset>
                </wp:positionH>
                <wp:positionV relativeFrom="paragraph">
                  <wp:posOffset>87630</wp:posOffset>
                </wp:positionV>
                <wp:extent cx="1981200" cy="600075"/>
                <wp:effectExtent l="19050" t="0" r="38100" b="28575"/>
                <wp:wrapNone/>
                <wp:docPr id="1" name="Chevron 1"/>
                <wp:cNvGraphicFramePr/>
                <a:graphic xmlns:a="http://schemas.openxmlformats.org/drawingml/2006/main">
                  <a:graphicData uri="http://schemas.microsoft.com/office/word/2010/wordprocessingShape">
                    <wps:wsp>
                      <wps:cNvSpPr/>
                      <wps:spPr>
                        <a:xfrm>
                          <a:off x="0" y="0"/>
                          <a:ext cx="1981200" cy="600075"/>
                        </a:xfrm>
                        <a:prstGeom prst="chevron">
                          <a:avLst/>
                        </a:prstGeom>
                        <a:solidFill>
                          <a:schemeClr val="accent6">
                            <a:lumMod val="7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2EA03" w14:textId="1E6A22C1" w:rsidR="00C951C9" w:rsidRPr="00234CD3" w:rsidRDefault="00B26C57" w:rsidP="00C951C9">
                            <w:pPr>
                              <w:jc w:val="center"/>
                              <w:rPr>
                                <w:b/>
                                <w:color w:val="FFFFFF" w:themeColor="background1"/>
                                <w:sz w:val="24"/>
                                <w:szCs w:val="24"/>
                                <w14:textOutline w14:w="9525" w14:cap="rnd" w14:cmpd="sng" w14:algn="ctr">
                                  <w14:noFill/>
                                  <w14:prstDash w14:val="solid"/>
                                  <w14:bevel/>
                                </w14:textOutline>
                                <w14:textFill>
                                  <w14:solidFill>
                                    <w14:schemeClr w14:val="bg1">
                                      <w14:alpha w14:val="9000"/>
                                    </w14:schemeClr>
                                  </w14:solidFill>
                                </w14:textFill>
                              </w:rPr>
                            </w:pPr>
                            <w:r w:rsidRPr="00234CD3">
                              <w:rPr>
                                <w:b/>
                                <w:color w:val="FFFFFF" w:themeColor="background1"/>
                                <w:sz w:val="24"/>
                                <w:szCs w:val="24"/>
                                <w14:textOutline w14:w="9525" w14:cap="rnd" w14:cmpd="sng" w14:algn="ctr">
                                  <w14:noFill/>
                                  <w14:prstDash w14:val="solid"/>
                                  <w14:bevel/>
                                </w14:textOutline>
                                <w14:textFill>
                                  <w14:solidFill>
                                    <w14:schemeClr w14:val="bg1">
                                      <w14:alpha w14:val="9000"/>
                                    </w14:schemeClr>
                                  </w14:solidFill>
                                </w14:textFill>
                              </w:rPr>
                              <w:t>Le c</w:t>
                            </w:r>
                            <w:r w:rsidR="00C951C9" w:rsidRPr="00234CD3">
                              <w:rPr>
                                <w:b/>
                                <w:color w:val="FFFFFF" w:themeColor="background1"/>
                                <w:sz w:val="24"/>
                                <w:szCs w:val="24"/>
                                <w14:textOutline w14:w="9525" w14:cap="rnd" w14:cmpd="sng" w14:algn="ctr">
                                  <w14:noFill/>
                                  <w14:prstDash w14:val="solid"/>
                                  <w14:bevel/>
                                </w14:textOutline>
                                <w14:textFill>
                                  <w14:solidFill>
                                    <w14:schemeClr w14:val="bg1">
                                      <w14:alpha w14:val="9000"/>
                                    </w14:schemeClr>
                                  </w14:solidFill>
                                </w14:textFill>
                              </w:rPr>
                              <w:t xml:space="preserve">ongé mobilité </w:t>
                            </w:r>
                          </w:p>
                          <w:p w14:paraId="1243C0DE" w14:textId="7B149426" w:rsidR="00C951C9" w:rsidRPr="00234CD3" w:rsidRDefault="00B26C57" w:rsidP="00C951C9">
                            <w:pPr>
                              <w:jc w:val="center"/>
                              <w:rPr>
                                <w:color w:val="FFFFFF" w:themeColor="background1"/>
                                <w14:textOutline w14:w="9525" w14:cap="rnd" w14:cmpd="sng" w14:algn="ctr">
                                  <w14:noFill/>
                                  <w14:prstDash w14:val="solid"/>
                                  <w14:bevel/>
                                </w14:textOutline>
                                <w14:textFill>
                                  <w14:solidFill>
                                    <w14:schemeClr w14:val="bg1">
                                      <w14:alpha w14:val="9000"/>
                                    </w14:schemeClr>
                                  </w14:solidFill>
                                </w14:textFill>
                              </w:rPr>
                            </w:pPr>
                            <w:r w:rsidRPr="00234CD3">
                              <w:rPr>
                                <w:color w:val="FFFFFF" w:themeColor="background1"/>
                                <w14:textOutline w14:w="9525" w14:cap="rnd" w14:cmpd="sng" w14:algn="ctr">
                                  <w14:noFill/>
                                  <w14:prstDash w14:val="solid"/>
                                  <w14:bevel/>
                                </w14:textOutline>
                                <w14:textFill>
                                  <w14:solidFill>
                                    <w14:schemeClr w14:val="bg1">
                                      <w14:alpha w14:val="9000"/>
                                    </w14:schemeClr>
                                  </w14:solidFill>
                                </w14:textFill>
                              </w:rPr>
                              <w:t>Pages</w:t>
                            </w:r>
                            <w:r w:rsidR="00C951C9" w:rsidRPr="00234CD3">
                              <w:rPr>
                                <w:color w:val="FFFFFF" w:themeColor="background1"/>
                                <w14:textOutline w14:w="9525" w14:cap="rnd" w14:cmpd="sng" w14:algn="ctr">
                                  <w14:noFill/>
                                  <w14:prstDash w14:val="solid"/>
                                  <w14:bevel/>
                                </w14:textOutline>
                                <w14:textFill>
                                  <w14:solidFill>
                                    <w14:schemeClr w14:val="bg1">
                                      <w14:alpha w14:val="9000"/>
                                    </w14:schemeClr>
                                  </w14:solidFill>
                                </w14:textFill>
                              </w:rPr>
                              <w:t xml:space="preserve"> suivantes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0391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319.15pt;margin-top:6.9pt;width:15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pqrQIAAOoFAAAOAAAAZHJzL2Uyb0RvYy54bWysVE1v2zAMvQ/YfxB0X20HTT+COkWQosOA&#10;ri3aDj0rshQbkEVNUmJnv36U5LhpF+ww7GKLIvlIPpG8uu5bRbbCugZ0SYuTnBKhOVSNXpf0x8vt&#10;lwtKnGe6Ygq0KOlOOHo9//zpqjMzMYEaVCUsQRDtZp0pae29mWWZ47VomTsBIzQqJdiWeRTtOqss&#10;6xC9Vdkkz8+yDmxlLHDhHN7eJCWdR3wpBfcPUjrhiSop5ubj18bvKnyz+RWbrS0zdcOHNNg/ZNGy&#10;RmPQEeqGeUY2tvkDqm24BQfSn3BoM5Cy4SLWgNUU+YdqnmtmRKwFyXFmpMn9P1h+v320pKnw7SjR&#10;rMUnWtZia0GTIpDTGTdDm2fzaAfJ4TFU2kvbhj/WQPpI6G4kVPSecLwsLi8KfCVKOOrO8jw/nwbQ&#10;7M3bWOe/CmhJOJQUnz3EjlSy7Z3zyXpvFeI5UE112ygVhdAnYqks2TJ8Yca50P4suqtN+x2qdH8+&#10;xdhD5NhawSXm8Q5NadKFpPNpHiHeKUe/BLlaR36wlAMrlJRG3MBa4ime/E6JkK3ST0Ii2cjMJAU4&#10;ln6RVDWrRAoVkj+efQQMyBL5GLEHgOPYidDBPriKOCWj81D535xHjxgZtB+d20aDPVaZ8nu2ZLLf&#10;k5SoCSz5ftUPLbaCaoddaSGNqzP8tsH2uGPOPzKL84kdhTvHP+BHKsA3g+FESQ3217H7YI9jg1pK&#10;Opz3krqfG2YFJeqbxoG6LE5Pw4KIwun0fIKCPdSsDjV60y4BGw6HBrOLx2Dv1f4oLbSvuJoWISqq&#10;mOYYGxvc272w9GkP4XLjYrGIZrgUDPN3+tnwAB4IDr3/0r8ya4YZ8Thd97DfDWz2YU6SbfDUsNh4&#10;kE0cokBx4nWgHhdKnIBh+YWNdShHq7cVPf8NAAD//wMAUEsDBBQABgAIAAAAIQB3SVVa2wAAAAoB&#10;AAAPAAAAZHJzL2Rvd25yZXYueG1sTI/NTsMwEITvSLyDtUjcqAMhVRviVAgpp55a+gBOvE0C9jqK&#10;nR94epYTHHdmNPtNcVidFTOOofek4HGTgEBqvOmpVXB5rx52IELUZLT1hAq+MMChvL0pdG78Qiec&#10;z7EVXEIh1wq6GIdcytB06HTY+AGJvasfnY58jq00o1643Fn5lCRb6XRP/KHTA7512HyeJ6dgPn2n&#10;HwtlccriUdqjrJ77ulLq/m59fQERcY1/YfjFZ3Qoman2E5kgrIJtuks5ykbKEziwzxIWahYSdmRZ&#10;yP8Tyh8AAAD//wMAUEsBAi0AFAAGAAgAAAAhALaDOJL+AAAA4QEAABMAAAAAAAAAAAAAAAAAAAAA&#10;AFtDb250ZW50X1R5cGVzXS54bWxQSwECLQAUAAYACAAAACEAOP0h/9YAAACUAQAACwAAAAAAAAAA&#10;AAAAAAAvAQAAX3JlbHMvLnJlbHNQSwECLQAUAAYACAAAACEAuezaaq0CAADqBQAADgAAAAAAAAAA&#10;AAAAAAAuAgAAZHJzL2Uyb0RvYy54bWxQSwECLQAUAAYACAAAACEAd0lVWtsAAAAKAQAADwAAAAAA&#10;AAAAAAAAAAAHBQAAZHJzL2Rvd25yZXYueG1sUEsFBgAAAAAEAAQA8wAAAA8GAAAAAA==&#10;" adj="18329" fillcolor="#538135 [2409]" strokecolor="white [3212]" strokeweight="1.5pt">
                <v:textbox>
                  <w:txbxContent>
                    <w:p w14:paraId="0222EA03" w14:textId="1E6A22C1" w:rsidR="00C951C9" w:rsidRPr="00234CD3" w:rsidRDefault="00B26C57" w:rsidP="00C951C9">
                      <w:pPr>
                        <w:jc w:val="center"/>
                        <w:rPr>
                          <w:b/>
                          <w:color w:val="FFFFFF" w:themeColor="background1"/>
                          <w:sz w:val="24"/>
                          <w:szCs w:val="24"/>
                          <w14:textOutline w14:w="9525" w14:cap="rnd" w14:cmpd="sng" w14:algn="ctr">
                            <w14:noFill/>
                            <w14:prstDash w14:val="solid"/>
                            <w14:bevel/>
                          </w14:textOutline>
                          <w14:textFill>
                            <w14:solidFill>
                              <w14:schemeClr w14:val="bg1">
                                <w14:alpha w14:val="9000"/>
                              </w14:schemeClr>
                            </w14:solidFill>
                          </w14:textFill>
                        </w:rPr>
                      </w:pPr>
                      <w:r w:rsidRPr="00234CD3">
                        <w:rPr>
                          <w:b/>
                          <w:color w:val="FFFFFF" w:themeColor="background1"/>
                          <w:sz w:val="24"/>
                          <w:szCs w:val="24"/>
                          <w14:textOutline w14:w="9525" w14:cap="rnd" w14:cmpd="sng" w14:algn="ctr">
                            <w14:noFill/>
                            <w14:prstDash w14:val="solid"/>
                            <w14:bevel/>
                          </w14:textOutline>
                          <w14:textFill>
                            <w14:solidFill>
                              <w14:schemeClr w14:val="bg1">
                                <w14:alpha w14:val="9000"/>
                              </w14:schemeClr>
                            </w14:solidFill>
                          </w14:textFill>
                        </w:rPr>
                        <w:t>Le c</w:t>
                      </w:r>
                      <w:r w:rsidR="00C951C9" w:rsidRPr="00234CD3">
                        <w:rPr>
                          <w:b/>
                          <w:color w:val="FFFFFF" w:themeColor="background1"/>
                          <w:sz w:val="24"/>
                          <w:szCs w:val="24"/>
                          <w14:textOutline w14:w="9525" w14:cap="rnd" w14:cmpd="sng" w14:algn="ctr">
                            <w14:noFill/>
                            <w14:prstDash w14:val="solid"/>
                            <w14:bevel/>
                          </w14:textOutline>
                          <w14:textFill>
                            <w14:solidFill>
                              <w14:schemeClr w14:val="bg1">
                                <w14:alpha w14:val="9000"/>
                              </w14:schemeClr>
                            </w14:solidFill>
                          </w14:textFill>
                        </w:rPr>
                        <w:t xml:space="preserve">ongé mobilité </w:t>
                      </w:r>
                    </w:p>
                    <w:p w14:paraId="1243C0DE" w14:textId="7B149426" w:rsidR="00C951C9" w:rsidRPr="00234CD3" w:rsidRDefault="00B26C57" w:rsidP="00C951C9">
                      <w:pPr>
                        <w:jc w:val="center"/>
                        <w:rPr>
                          <w:color w:val="FFFFFF" w:themeColor="background1"/>
                          <w14:textOutline w14:w="9525" w14:cap="rnd" w14:cmpd="sng" w14:algn="ctr">
                            <w14:noFill/>
                            <w14:prstDash w14:val="solid"/>
                            <w14:bevel/>
                          </w14:textOutline>
                          <w14:textFill>
                            <w14:solidFill>
                              <w14:schemeClr w14:val="bg1">
                                <w14:alpha w14:val="9000"/>
                              </w14:schemeClr>
                            </w14:solidFill>
                          </w14:textFill>
                        </w:rPr>
                      </w:pPr>
                      <w:r w:rsidRPr="00234CD3">
                        <w:rPr>
                          <w:color w:val="FFFFFF" w:themeColor="background1"/>
                          <w14:textOutline w14:w="9525" w14:cap="rnd" w14:cmpd="sng" w14:algn="ctr">
                            <w14:noFill/>
                            <w14:prstDash w14:val="solid"/>
                            <w14:bevel/>
                          </w14:textOutline>
                          <w14:textFill>
                            <w14:solidFill>
                              <w14:schemeClr w14:val="bg1">
                                <w14:alpha w14:val="9000"/>
                              </w14:schemeClr>
                            </w14:solidFill>
                          </w14:textFill>
                        </w:rPr>
                        <w:t>Pages</w:t>
                      </w:r>
                      <w:r w:rsidR="00C951C9" w:rsidRPr="00234CD3">
                        <w:rPr>
                          <w:color w:val="FFFFFF" w:themeColor="background1"/>
                          <w14:textOutline w14:w="9525" w14:cap="rnd" w14:cmpd="sng" w14:algn="ctr">
                            <w14:noFill/>
                            <w14:prstDash w14:val="solid"/>
                            <w14:bevel/>
                          </w14:textOutline>
                          <w14:textFill>
                            <w14:solidFill>
                              <w14:schemeClr w14:val="bg1">
                                <w14:alpha w14:val="9000"/>
                              </w14:schemeClr>
                            </w14:solidFill>
                          </w14:textFill>
                        </w:rPr>
                        <w:t xml:space="preserve"> suivantes</w:t>
                      </w:r>
                    </w:p>
                  </w:txbxContent>
                </v:textbox>
              </v:shape>
            </w:pict>
          </mc:Fallback>
        </mc:AlternateContent>
      </w:r>
    </w:p>
    <w:p w14:paraId="0CFD3AC9" w14:textId="0F3668F1" w:rsidR="00C951C9" w:rsidRDefault="00C951C9">
      <w:pPr>
        <w:rPr>
          <w:b/>
          <w:color w:val="538135" w:themeColor="accent6" w:themeShade="BF"/>
          <w:sz w:val="28"/>
          <w:szCs w:val="28"/>
        </w:rPr>
      </w:pPr>
    </w:p>
    <w:p w14:paraId="3FB5A25F" w14:textId="1D49F19C" w:rsidR="00C951C9" w:rsidRDefault="00C951C9">
      <w:pPr>
        <w:rPr>
          <w:b/>
          <w:color w:val="538135" w:themeColor="accent6" w:themeShade="BF"/>
          <w:sz w:val="28"/>
          <w:szCs w:val="28"/>
        </w:rPr>
      </w:pPr>
    </w:p>
    <w:p w14:paraId="75D019D6" w14:textId="2F776FD9" w:rsidR="00C951C9" w:rsidRDefault="00C951C9">
      <w:pPr>
        <w:rPr>
          <w:b/>
          <w:color w:val="538135" w:themeColor="accent6" w:themeShade="BF"/>
          <w:sz w:val="28"/>
          <w:szCs w:val="28"/>
        </w:rPr>
      </w:pPr>
    </w:p>
    <w:p w14:paraId="3B76A2B4" w14:textId="6F921954" w:rsidR="00E018DA" w:rsidRDefault="00C951C9" w:rsidP="00C951C9">
      <w:pPr>
        <w:jc w:val="right"/>
        <w:rPr>
          <w:b/>
          <w:color w:val="538135" w:themeColor="accent6" w:themeShade="BF"/>
          <w:sz w:val="28"/>
          <w:szCs w:val="28"/>
        </w:rPr>
      </w:pPr>
      <w:r>
        <w:rPr>
          <w:b/>
          <w:color w:val="538135" w:themeColor="accent6" w:themeShade="BF"/>
          <w:sz w:val="28"/>
          <w:szCs w:val="28"/>
        </w:rPr>
        <w:t>Fiche 6</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1E496A" w14:paraId="1A758E13" w14:textId="77777777" w:rsidTr="00176BA2">
        <w:tc>
          <w:tcPr>
            <w:tcW w:w="8982" w:type="dxa"/>
          </w:tcPr>
          <w:p w14:paraId="1963886D" w14:textId="49DE84EC" w:rsidR="001E496A" w:rsidRDefault="001E496A" w:rsidP="001E496A">
            <w:pPr>
              <w:spacing w:before="240" w:after="240"/>
              <w:jc w:val="center"/>
            </w:pPr>
            <w:r>
              <w:rPr>
                <w:b/>
                <w:color w:val="538135" w:themeColor="accent6" w:themeShade="BF"/>
                <w:sz w:val="28"/>
                <w:szCs w:val="28"/>
              </w:rPr>
              <w:t>Le congé mobilité</w:t>
            </w:r>
          </w:p>
        </w:tc>
      </w:tr>
    </w:tbl>
    <w:p w14:paraId="3D64B467" w14:textId="4120D8F1" w:rsidR="00F22188" w:rsidRPr="002D22AC" w:rsidRDefault="00F22188" w:rsidP="001253B1">
      <w:pPr>
        <w:spacing w:before="240" w:after="0"/>
        <w:jc w:val="both"/>
      </w:pPr>
      <w:r w:rsidRPr="002D22AC">
        <w:t>Le congé mobilité permet au fonctionnaire appartenant à un corps d’enseignement ou d’éducation de l’enseignement technique agricole public de faire une évolution professionnelle en suivant une formation.</w:t>
      </w:r>
    </w:p>
    <w:p w14:paraId="58A9F7B1" w14:textId="601DE3DE" w:rsidR="00F22188" w:rsidRDefault="00F22188" w:rsidP="001253B1">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240" w:after="180"/>
        <w:jc w:val="both"/>
        <w:rPr>
          <w:b/>
          <w:color w:val="538135" w:themeColor="accent6" w:themeShade="BF"/>
          <w:sz w:val="24"/>
          <w:szCs w:val="24"/>
        </w:rPr>
      </w:pPr>
      <w:r>
        <w:rPr>
          <w:b/>
          <w:color w:val="538135" w:themeColor="accent6" w:themeShade="BF"/>
          <w:sz w:val="24"/>
          <w:szCs w:val="24"/>
        </w:rPr>
        <w:t xml:space="preserve">Qu’est-ce que le congé mobilité </w:t>
      </w:r>
      <w:r w:rsidRPr="003A4D35">
        <w:rPr>
          <w:b/>
          <w:color w:val="538135" w:themeColor="accent6" w:themeShade="BF"/>
          <w:sz w:val="24"/>
          <w:szCs w:val="24"/>
        </w:rPr>
        <w:t>?</w:t>
      </w:r>
    </w:p>
    <w:p w14:paraId="1F3E2BBE" w14:textId="7F0F02F7" w:rsidR="00B16A9D" w:rsidRDefault="001E496A" w:rsidP="002D22AC">
      <w:pPr>
        <w:spacing w:before="120" w:after="0"/>
        <w:jc w:val="both"/>
      </w:pPr>
      <w:r>
        <w:t>Le congé de mobilité permet</w:t>
      </w:r>
      <w:r w:rsidR="00B16A9D">
        <w:t> :</w:t>
      </w:r>
    </w:p>
    <w:p w14:paraId="609C793C" w14:textId="35D74433" w:rsidR="001E496A" w:rsidRDefault="00B16A9D" w:rsidP="002D22AC">
      <w:pPr>
        <w:pStyle w:val="Paragraphedeliste"/>
        <w:numPr>
          <w:ilvl w:val="0"/>
          <w:numId w:val="21"/>
        </w:numPr>
        <w:spacing w:before="120" w:after="0"/>
        <w:contextualSpacing w:val="0"/>
        <w:jc w:val="both"/>
      </w:pPr>
      <w:proofErr w:type="gramStart"/>
      <w:r>
        <w:t>s</w:t>
      </w:r>
      <w:r w:rsidR="001E496A">
        <w:t>oit</w:t>
      </w:r>
      <w:proofErr w:type="gramEnd"/>
      <w:r w:rsidR="001E496A">
        <w:t xml:space="preserve"> </w:t>
      </w:r>
      <w:r>
        <w:t>d’</w:t>
      </w:r>
      <w:r w:rsidR="001E496A">
        <w:t>accéder à un autre corps relevant du ministre chargé de l'agriculture ou à un autre corps, cadre d'emplois ou emploi de l'une des trois fonctions publiques ;</w:t>
      </w:r>
    </w:p>
    <w:p w14:paraId="4C7907EC" w14:textId="4C9C0812" w:rsidR="00B82E42" w:rsidRDefault="001E496A" w:rsidP="002D22AC">
      <w:pPr>
        <w:pStyle w:val="Paragraphedeliste"/>
        <w:numPr>
          <w:ilvl w:val="0"/>
          <w:numId w:val="21"/>
        </w:numPr>
        <w:spacing w:before="120" w:after="0"/>
        <w:contextualSpacing w:val="0"/>
        <w:jc w:val="both"/>
      </w:pPr>
      <w:proofErr w:type="gramStart"/>
      <w:r>
        <w:t>soit</w:t>
      </w:r>
      <w:proofErr w:type="gramEnd"/>
      <w:r>
        <w:t xml:space="preserve"> </w:t>
      </w:r>
      <w:r w:rsidR="00B16A9D">
        <w:t>de</w:t>
      </w:r>
      <w:r>
        <w:t xml:space="preserve"> préparer une réorientation professionnelle vers une activité du secteur privé, y compris la création d'une entreprise.</w:t>
      </w:r>
    </w:p>
    <w:p w14:paraId="632565E0" w14:textId="4D8A09EF" w:rsidR="001E496A" w:rsidRPr="003A4D35" w:rsidRDefault="001E496A" w:rsidP="001E496A">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Qui peut mobiliser un</w:t>
      </w:r>
      <w:r>
        <w:rPr>
          <w:b/>
          <w:color w:val="538135" w:themeColor="accent6" w:themeShade="BF"/>
          <w:sz w:val="24"/>
          <w:szCs w:val="24"/>
        </w:rPr>
        <w:t xml:space="preserve"> congé mobilité </w:t>
      </w:r>
      <w:r w:rsidRPr="003A4D35">
        <w:rPr>
          <w:b/>
          <w:color w:val="538135" w:themeColor="accent6" w:themeShade="BF"/>
          <w:sz w:val="24"/>
          <w:szCs w:val="24"/>
        </w:rPr>
        <w:t>?</w:t>
      </w:r>
    </w:p>
    <w:p w14:paraId="6B44947A" w14:textId="7DF1BCBB" w:rsidR="00B16A9D" w:rsidRDefault="00B16A9D" w:rsidP="001253B1">
      <w:pPr>
        <w:spacing w:before="120" w:after="0"/>
      </w:pPr>
      <w:r>
        <w:t xml:space="preserve">Le bénéficie du congé mobilité est réservé aux seuls fonctionnaires en activité : </w:t>
      </w:r>
    </w:p>
    <w:p w14:paraId="55AAFE66" w14:textId="353AD73F" w:rsidR="00B16A9D" w:rsidRDefault="00B16A9D" w:rsidP="001253B1">
      <w:pPr>
        <w:pStyle w:val="Paragraphedeliste"/>
        <w:numPr>
          <w:ilvl w:val="0"/>
          <w:numId w:val="22"/>
        </w:numPr>
        <w:spacing w:before="120" w:after="0"/>
        <w:contextualSpacing w:val="0"/>
      </w:pPr>
      <w:proofErr w:type="gramStart"/>
      <w:r>
        <w:t>appartenant</w:t>
      </w:r>
      <w:proofErr w:type="gramEnd"/>
      <w:r>
        <w:t xml:space="preserve"> à un corps d’enseignement ou d’éducation technique agricole public ;</w:t>
      </w:r>
    </w:p>
    <w:p w14:paraId="082383DE" w14:textId="39CE9445" w:rsidR="00F65C87" w:rsidRDefault="00B16A9D" w:rsidP="001253B1">
      <w:pPr>
        <w:pStyle w:val="Paragraphedeliste"/>
        <w:numPr>
          <w:ilvl w:val="0"/>
          <w:numId w:val="22"/>
        </w:numPr>
        <w:spacing w:before="120" w:after="0"/>
        <w:contextualSpacing w:val="0"/>
        <w:jc w:val="both"/>
      </w:pPr>
      <w:proofErr w:type="gramStart"/>
      <w:r>
        <w:t>justifiant</w:t>
      </w:r>
      <w:proofErr w:type="gramEnd"/>
      <w:r>
        <w:t xml:space="preserve"> d’une expérience de 10 ans de services dans un corps ou emploi d’enseignement ou d’éduction dans un établissement public.</w:t>
      </w:r>
      <w:r w:rsidR="001253B1">
        <w:t xml:space="preserve"> </w:t>
      </w:r>
    </w:p>
    <w:p w14:paraId="764CDB25" w14:textId="5DD7A223" w:rsidR="001E496A" w:rsidRPr="00F22188" w:rsidRDefault="001E496A" w:rsidP="00F22188">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Comment se déroule un</w:t>
      </w:r>
      <w:r w:rsidRPr="002756A1">
        <w:rPr>
          <w:b/>
          <w:color w:val="538135" w:themeColor="accent6" w:themeShade="BF"/>
          <w:sz w:val="24"/>
          <w:szCs w:val="24"/>
        </w:rPr>
        <w:t xml:space="preserve"> </w:t>
      </w:r>
      <w:r>
        <w:rPr>
          <w:b/>
          <w:color w:val="538135" w:themeColor="accent6" w:themeShade="BF"/>
          <w:sz w:val="24"/>
          <w:szCs w:val="24"/>
        </w:rPr>
        <w:t xml:space="preserve">congé mobilité </w:t>
      </w:r>
      <w:r w:rsidRPr="003A4D35">
        <w:rPr>
          <w:b/>
          <w:color w:val="538135" w:themeColor="accent6" w:themeShade="BF"/>
          <w:sz w:val="24"/>
          <w:szCs w:val="24"/>
        </w:rPr>
        <w:t>?</w:t>
      </w:r>
    </w:p>
    <w:p w14:paraId="6DC54BAD" w14:textId="7F9974B8" w:rsidR="00F22188" w:rsidRDefault="00F22188" w:rsidP="001253B1">
      <w:pPr>
        <w:spacing w:before="120" w:after="0"/>
        <w:jc w:val="both"/>
      </w:pPr>
      <w:r>
        <w:t>Le</w:t>
      </w:r>
      <w:r w:rsidR="004C585F">
        <w:t xml:space="preserve"> congé mobilité est accordé du 1</w:t>
      </w:r>
      <w:r w:rsidR="004C585F" w:rsidRPr="004C585F">
        <w:rPr>
          <w:vertAlign w:val="superscript"/>
        </w:rPr>
        <w:t>er</w:t>
      </w:r>
      <w:r w:rsidR="004C585F">
        <w:t xml:space="preserve"> septembre au 31 août de l’</w:t>
      </w:r>
      <w:r w:rsidR="00F65C87">
        <w:t xml:space="preserve">année suivante. Il ne peut être mobilisé qu’une fois dans la carrière. Il </w:t>
      </w:r>
      <w:r w:rsidR="001253B1">
        <w:t>n’est pas fractionnable.</w:t>
      </w:r>
    </w:p>
    <w:p w14:paraId="3476B014" w14:textId="2D7FC731" w:rsidR="004C585F" w:rsidRDefault="004C585F" w:rsidP="001253B1">
      <w:pPr>
        <w:spacing w:before="120" w:after="0"/>
        <w:jc w:val="both"/>
      </w:pPr>
      <w:r>
        <w:t>Le fonctionnaire en congé mobilité perçoit le traitement afférent à l’indice auquel il était classé dans son corps d’origine, l’indemnité de résidence et</w:t>
      </w:r>
      <w:r w:rsidR="00F65C87">
        <w:t>, le cas échéant,</w:t>
      </w:r>
      <w:r>
        <w:t xml:space="preserve"> le supplément familial de traitement. </w:t>
      </w:r>
    </w:p>
    <w:p w14:paraId="622E0CFA" w14:textId="5CBAB95C" w:rsidR="00F65C87" w:rsidRDefault="00F65C87" w:rsidP="001253B1">
      <w:pPr>
        <w:spacing w:before="120" w:after="0"/>
        <w:jc w:val="both"/>
      </w:pPr>
      <w:r>
        <w:t>A l’issu</w:t>
      </w:r>
      <w:r w:rsidR="00253361">
        <w:t>e</w:t>
      </w:r>
      <w:r>
        <w:t xml:space="preserve"> du congé de mobilité, l’agent demeure en position d‘activité dans son corps d’origine et bénéficie, s’il le demande, d’une affectation dans la région où il était précédemment affecté. Il a un doit de priorité pour une affectation dans l’établissement où il servait ultérieurement. </w:t>
      </w:r>
    </w:p>
    <w:p w14:paraId="06E964F9" w14:textId="77777777" w:rsidR="001E496A" w:rsidRPr="003A4D35" w:rsidRDefault="001E496A" w:rsidP="001E496A">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Comment mobiliser un</w:t>
      </w:r>
      <w:r w:rsidRPr="002756A1">
        <w:rPr>
          <w:b/>
          <w:color w:val="538135" w:themeColor="accent6" w:themeShade="BF"/>
          <w:sz w:val="24"/>
          <w:szCs w:val="24"/>
        </w:rPr>
        <w:t xml:space="preserve"> </w:t>
      </w:r>
      <w:r>
        <w:rPr>
          <w:b/>
          <w:color w:val="538135" w:themeColor="accent6" w:themeShade="BF"/>
          <w:sz w:val="24"/>
          <w:szCs w:val="24"/>
        </w:rPr>
        <w:t xml:space="preserve">congé de formation professionnelle </w:t>
      </w:r>
      <w:r w:rsidRPr="003A4D35">
        <w:rPr>
          <w:b/>
          <w:color w:val="538135" w:themeColor="accent6" w:themeShade="BF"/>
          <w:sz w:val="24"/>
          <w:szCs w:val="24"/>
        </w:rPr>
        <w:t>?</w:t>
      </w:r>
    </w:p>
    <w:p w14:paraId="36B8FB9F" w14:textId="1BE9CCE4" w:rsidR="001E496A" w:rsidRDefault="00F22188" w:rsidP="001253B1">
      <w:pPr>
        <w:spacing w:before="120" w:after="0"/>
      </w:pPr>
      <w:r>
        <w:t>Une procédure annuelle est organisée par le ministère chargé de l’agriculture et précisé par note de service</w:t>
      </w:r>
      <w:r w:rsidR="00F65C87">
        <w:t xml:space="preserve"> conjointe SRH et DGER.</w:t>
      </w:r>
    </w:p>
    <w:p w14:paraId="73660DC8" w14:textId="4B909925" w:rsidR="00F65C87" w:rsidRDefault="00F65C87" w:rsidP="001253B1">
      <w:pPr>
        <w:spacing w:before="120" w:after="0"/>
      </w:pPr>
      <w:r>
        <w:t xml:space="preserve">La décision accordant ou refusant le congé de mobilité </w:t>
      </w:r>
      <w:r w:rsidR="00127A5D">
        <w:t>est</w:t>
      </w:r>
      <w:r>
        <w:t xml:space="preserve"> motivée et notifiée à l’agent. </w:t>
      </w:r>
    </w:p>
    <w:p w14:paraId="05500C6B" w14:textId="6AF90E87" w:rsidR="00C951C9" w:rsidRDefault="00C951C9" w:rsidP="001253B1">
      <w:pPr>
        <w:spacing w:before="120" w:after="0"/>
      </w:pPr>
    </w:p>
    <w:p w14:paraId="6FAF50F1" w14:textId="77777777" w:rsidR="00C951C9" w:rsidRDefault="00C951C9" w:rsidP="001253B1">
      <w:pPr>
        <w:spacing w:before="120" w:after="0"/>
      </w:pPr>
    </w:p>
    <w:p w14:paraId="575EEFEC" w14:textId="51FC43BE" w:rsidR="001E496A" w:rsidRPr="003A4D35" w:rsidRDefault="002D22AC" w:rsidP="001E496A">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Pour aller plus loin…</w:t>
      </w:r>
    </w:p>
    <w:p w14:paraId="4904C74F" w14:textId="4C404613" w:rsidR="001E496A" w:rsidRDefault="001E496A" w:rsidP="001E496A">
      <w:pPr>
        <w:pStyle w:val="Paragraphedeliste"/>
        <w:numPr>
          <w:ilvl w:val="0"/>
          <w:numId w:val="14"/>
        </w:numPr>
        <w:jc w:val="both"/>
      </w:pPr>
      <w:r>
        <w:t>Décret n° 92-322 du 27 mars 1992 relatif au congé de mobilité dont peuvent bénéficier certains personnels relevant du ministre chargé de l'agriculture ;</w:t>
      </w:r>
    </w:p>
    <w:p w14:paraId="58CD3738" w14:textId="5805864E" w:rsidR="00443952" w:rsidRPr="00F72490" w:rsidRDefault="001253B1" w:rsidP="001E496A">
      <w:pPr>
        <w:pStyle w:val="Paragraphedeliste"/>
        <w:numPr>
          <w:ilvl w:val="0"/>
          <w:numId w:val="14"/>
        </w:numPr>
        <w:jc w:val="both"/>
      </w:pPr>
      <w:r>
        <w:t>N</w:t>
      </w:r>
      <w:r w:rsidR="00443952" w:rsidRPr="00F72490">
        <w:t xml:space="preserve">ote de service annuelle </w:t>
      </w:r>
      <w:r w:rsidR="00F72490">
        <w:t>à retrouver</w:t>
      </w:r>
      <w:r w:rsidR="00443952" w:rsidRPr="00F72490">
        <w:t xml:space="preserve"> sur </w:t>
      </w:r>
      <w:r w:rsidR="00F72490">
        <w:t>le BO Agri.</w:t>
      </w:r>
    </w:p>
    <w:p w14:paraId="5B2BC917" w14:textId="15D0DA42" w:rsidR="00C951C9" w:rsidRDefault="00C951C9" w:rsidP="00C951C9">
      <w:pPr>
        <w:jc w:val="both"/>
        <w:rPr>
          <w:highlight w:val="yellow"/>
        </w:rPr>
      </w:pPr>
    </w:p>
    <w:p w14:paraId="1BB681E6" w14:textId="24EE4A02" w:rsidR="00B26C57" w:rsidRDefault="00B26C57" w:rsidP="00C951C9">
      <w:pPr>
        <w:jc w:val="both"/>
        <w:rPr>
          <w:highlight w:val="yellow"/>
        </w:rPr>
      </w:pPr>
    </w:p>
    <w:p w14:paraId="50E89B08" w14:textId="6499E832" w:rsidR="00B26C57" w:rsidRDefault="00FC6EC2" w:rsidP="00B26C57">
      <w:pPr>
        <w:spacing w:before="360" w:after="180"/>
        <w:jc w:val="both"/>
        <w:rPr>
          <w:sz w:val="24"/>
          <w:szCs w:val="24"/>
        </w:rPr>
      </w:pPr>
      <w:r>
        <w:rPr>
          <w:noProof/>
          <w:lang w:eastAsia="fr-FR"/>
        </w:rPr>
        <mc:AlternateContent>
          <mc:Choice Requires="wps">
            <w:drawing>
              <wp:anchor distT="0" distB="0" distL="114300" distR="114300" simplePos="0" relativeHeight="251661312" behindDoc="0" locked="0" layoutInCell="1" allowOverlap="1" wp14:anchorId="6AD5ED6F" wp14:editId="4C478F71">
                <wp:simplePos x="0" y="0"/>
                <wp:positionH relativeFrom="margin">
                  <wp:align>right</wp:align>
                </wp:positionH>
                <wp:positionV relativeFrom="paragraph">
                  <wp:posOffset>59055</wp:posOffset>
                </wp:positionV>
                <wp:extent cx="5838825" cy="533400"/>
                <wp:effectExtent l="0" t="0" r="28575" b="95250"/>
                <wp:wrapNone/>
                <wp:docPr id="4" name="Rectangle 4"/>
                <wp:cNvGraphicFramePr/>
                <a:graphic xmlns:a="http://schemas.openxmlformats.org/drawingml/2006/main">
                  <a:graphicData uri="http://schemas.microsoft.com/office/word/2010/wordprocessingShape">
                    <wps:wsp>
                      <wps:cNvSpPr/>
                      <wps:spPr>
                        <a:xfrm>
                          <a:off x="0" y="0"/>
                          <a:ext cx="5838825" cy="533400"/>
                        </a:xfrm>
                        <a:prstGeom prst="wedgeRectCallout">
                          <a:avLst/>
                        </a:prstGeom>
                        <a:solidFill>
                          <a:schemeClr val="bg1"/>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D53" w14:textId="23E295E7" w:rsidR="00B26C57" w:rsidRDefault="00674D39" w:rsidP="00B26C57">
                            <w:pPr>
                              <w:rPr>
                                <w:b/>
                                <w:color w:val="538135" w:themeColor="accent6" w:themeShade="BF"/>
                                <w:sz w:val="24"/>
                                <w:szCs w:val="24"/>
                              </w:rPr>
                            </w:pPr>
                            <w:r>
                              <w:rPr>
                                <w:b/>
                                <w:color w:val="538135" w:themeColor="accent6" w:themeShade="BF"/>
                                <w:sz w:val="24"/>
                                <w:szCs w:val="24"/>
                              </w:rPr>
                              <w:t>EXEMPLE</w:t>
                            </w:r>
                            <w:r w:rsidR="0051371C">
                              <w:rPr>
                                <w:b/>
                                <w:color w:val="538135" w:themeColor="accent6" w:themeShade="BF"/>
                                <w:sz w:val="24"/>
                                <w:szCs w:val="24"/>
                              </w:rPr>
                              <w:t xml:space="preserve"> DE MOBILISATION DU CONGÉ </w:t>
                            </w:r>
                            <w:r w:rsidR="00B26C57">
                              <w:rPr>
                                <w:b/>
                                <w:color w:val="538135" w:themeColor="accent6" w:themeShade="BF"/>
                                <w:sz w:val="24"/>
                                <w:szCs w:val="24"/>
                              </w:rPr>
                              <w:t>MOBILITÉ PAR...</w:t>
                            </w:r>
                          </w:p>
                          <w:p w14:paraId="630A1FE1" w14:textId="77777777" w:rsidR="00B26C57" w:rsidRPr="0094359B" w:rsidRDefault="00B26C57" w:rsidP="00B26C57">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5ED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4" o:spid="_x0000_s1027" type="#_x0000_t61" style="position:absolute;left:0;text-align:left;margin-left:408.55pt;margin-top:4.65pt;width:459.7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xovAIAAPwFAAAOAAAAZHJzL2Uyb0RvYy54bWysVE1v2zAMvQ/YfxB0X+2kSZsGdYogRYcB&#10;XRu0HXpWZCk2IIuapMTOfv0o+SNNV+ww7GKLIvlIPpG8vmkqRfbCuhJ0RkdnKSVCc8hLvc3oj5e7&#10;LzNKnGc6Zwq0yOhBOHqz+PzpujZzMYYCVC4sQRDt5rXJaOG9mSeJ44WomDsDIzQqJdiKeRTtNskt&#10;qxG9Usk4TS+SGmxuLHDhHN7etkq6iPhSCu4fpXTCE5VRzM3Hr43fTfgmi2s231pmipJ3abB/yKJi&#10;pcagA9Qt84zsbPkHVFVyCw6kP+NQJSBlyUWsAasZpe+qeS6YEbEWJMeZgSb3/2D5w35tSZlndEKJ&#10;ZhU+0ROSxvRWCTIJ9NTGzdHq2axtJzk8hlobaavwxypIEyk9DJSKxhOOl9PZ+Ww2nlLCUTc9P5+k&#10;kfPk6G2s818FVCQcMlqLfCtCCiumFOx8ZJXt753H6OjWm4fADlSZ35VKRSG0jFgpS/YMH3uzHYXs&#10;0ePESmlSY59epdM0Ip8oY9cdIRjnQvuLaKd21XfIW+jLaTpUMbi8D4WBlcbLQF9LWDz5gxIhW6Wf&#10;hETekaJxm8hp+m3sUasqWC7a0CFyT+Bp6AgYkCXyMWB3AB9jt/R09sFVxIEZnDuG/uY8eMTIoP3g&#10;XJUa7EeVKd8/jGzte5JaagJLvtk0sSejZbjZQH7APrXQDrAz/K7Edrlnzq+ZxYnF2cYt5B/xIxXg&#10;E0N3oqQA++uj+2CPg4RaSmrcABl1P3fMCkrUN40jdjWaTMLKiMJkejlGwb7VbN5q9K5aAfbdCPed&#10;4fEY7L3qj9JC9YrLahmiooppjrEzyr3thZVvNxOuOy6Wy2iGa8Iwf6+fDQ/ggecwAi/NK7OmmxmP&#10;0/YA/bZg83fj0toGTw3LnQdZxlk68tq9AK6Y2MXdOgw77K0crY5Le/EbAAD//wMAUEsDBBQABgAI&#10;AAAAIQCXvPO72gAAAAUBAAAPAAAAZHJzL2Rvd25yZXYueG1sTI9BS8NAFITvgv9heYI3u6mlYmJe&#10;ihTsqYLWgtdN9pmE7r4N2W0b/fW+nvQ4zDDzTbmavFMnGmMfGGE+y0ARN8H23CLsP17uHkHFZNga&#10;F5gQvinCqrq+Kk1hw5nf6bRLrZISjoVB6FIaCq1j05E3cRYGYvG+wuhNEjm22o7mLOXe6fsse9De&#10;9CwLnRlo3VFz2B09wrL+2WxfW7enbb9Jb8OBs7X7RLy9mZ6fQCWa0l8YLviCDpUw1eHINiqHIEcS&#10;Qr4AJWY+z5eg6otegK5K/Z+++gUAAP//AwBQSwECLQAUAAYACAAAACEAtoM4kv4AAADhAQAAEwAA&#10;AAAAAAAAAAAAAAAAAAAAW0NvbnRlbnRfVHlwZXNdLnhtbFBLAQItABQABgAIAAAAIQA4/SH/1gAA&#10;AJQBAAALAAAAAAAAAAAAAAAAAC8BAABfcmVscy8ucmVsc1BLAQItABQABgAIAAAAIQA34GxovAIA&#10;APwFAAAOAAAAAAAAAAAAAAAAAC4CAABkcnMvZTJvRG9jLnhtbFBLAQItABQABgAIAAAAIQCXvPO7&#10;2gAAAAUBAAAPAAAAAAAAAAAAAAAAABYFAABkcnMvZG93bnJldi54bWxQSwUGAAAAAAQABADzAAAA&#10;HQYAAAAA&#10;" adj="6300,24300" fillcolor="white [3212]" strokecolor="#538135 [2409]" strokeweight="1.5pt">
                <v:textbox>
                  <w:txbxContent>
                    <w:p w14:paraId="5FF55D53" w14:textId="23E295E7" w:rsidR="00B26C57" w:rsidRDefault="00674D39" w:rsidP="00B26C57">
                      <w:pPr>
                        <w:rPr>
                          <w:b/>
                          <w:color w:val="538135" w:themeColor="accent6" w:themeShade="BF"/>
                          <w:sz w:val="24"/>
                          <w:szCs w:val="24"/>
                        </w:rPr>
                      </w:pPr>
                      <w:r>
                        <w:rPr>
                          <w:b/>
                          <w:color w:val="538135" w:themeColor="accent6" w:themeShade="BF"/>
                          <w:sz w:val="24"/>
                          <w:szCs w:val="24"/>
                        </w:rPr>
                        <w:t>EXEMPLE</w:t>
                      </w:r>
                      <w:r w:rsidR="0051371C">
                        <w:rPr>
                          <w:b/>
                          <w:color w:val="538135" w:themeColor="accent6" w:themeShade="BF"/>
                          <w:sz w:val="24"/>
                          <w:szCs w:val="24"/>
                        </w:rPr>
                        <w:t xml:space="preserve"> DE MOBILISATION DU CONGÉ </w:t>
                      </w:r>
                      <w:r w:rsidR="00B26C57">
                        <w:rPr>
                          <w:b/>
                          <w:color w:val="538135" w:themeColor="accent6" w:themeShade="BF"/>
                          <w:sz w:val="24"/>
                          <w:szCs w:val="24"/>
                        </w:rPr>
                        <w:t>MOBILITÉ PAR...</w:t>
                      </w:r>
                    </w:p>
                    <w:p w14:paraId="630A1FE1" w14:textId="77777777" w:rsidR="00B26C57" w:rsidRPr="0094359B" w:rsidRDefault="00B26C57" w:rsidP="00B26C57">
                      <w:pPr>
                        <w:rPr>
                          <w:b/>
                          <w:color w:val="538135" w:themeColor="accent6" w:themeShade="BF"/>
                          <w:sz w:val="24"/>
                          <w:szCs w:val="24"/>
                        </w:rPr>
                      </w:pPr>
                    </w:p>
                  </w:txbxContent>
                </v:textbox>
                <w10:wrap anchorx="margin"/>
              </v:shape>
            </w:pict>
          </mc:Fallback>
        </mc:AlternateContent>
      </w:r>
    </w:p>
    <w:p w14:paraId="6EC79903" w14:textId="3933B9DF" w:rsidR="00C951C9" w:rsidRPr="00B26C57" w:rsidRDefault="00E410C9" w:rsidP="00B26C57">
      <w:pPr>
        <w:spacing w:before="360" w:after="180"/>
        <w:jc w:val="both"/>
        <w:rPr>
          <w:sz w:val="24"/>
          <w:szCs w:val="24"/>
        </w:rPr>
      </w:pPr>
      <w:r>
        <w:rPr>
          <w:sz w:val="24"/>
          <w:szCs w:val="24"/>
        </w:rPr>
        <w:br/>
      </w:r>
      <w:r w:rsidR="00B26C57">
        <w:rPr>
          <w:sz w:val="24"/>
          <w:szCs w:val="24"/>
        </w:rPr>
        <w:t xml:space="preserve">Une </w:t>
      </w:r>
      <w:r w:rsidR="00C951C9" w:rsidRPr="00B26C57">
        <w:rPr>
          <w:sz w:val="24"/>
          <w:szCs w:val="24"/>
        </w:rPr>
        <w:t>professeure documentaliste en EPLEFPA souhaite se reconvertir vers le métier d'ingénieure pédagogique numérique et multimédia. Pour pouvoir suivre les études du Master "Ingénierie pédagogique multimédia", elle demande à bénéficier de son congé de mobilité. Elle valorisera par l</w:t>
      </w:r>
      <w:r w:rsidR="00AD461D">
        <w:rPr>
          <w:sz w:val="24"/>
          <w:szCs w:val="24"/>
        </w:rPr>
        <w:t>a</w:t>
      </w:r>
      <w:r w:rsidR="00C951C9" w:rsidRPr="00B26C57">
        <w:rPr>
          <w:sz w:val="24"/>
          <w:szCs w:val="24"/>
        </w:rPr>
        <w:t xml:space="preserve"> suite son diplôme par une mobilité au sein du réseau CANOPE.</w:t>
      </w:r>
    </w:p>
    <w:p w14:paraId="19DCA442" w14:textId="77777777" w:rsidR="00C951C9" w:rsidRPr="00C951C9" w:rsidRDefault="00C951C9" w:rsidP="00C951C9">
      <w:pPr>
        <w:jc w:val="both"/>
        <w:rPr>
          <w:highlight w:val="yellow"/>
        </w:rPr>
      </w:pPr>
    </w:p>
    <w:sectPr w:rsidR="00C951C9" w:rsidRPr="00C951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895A" w14:textId="77777777" w:rsidR="0002518E" w:rsidRDefault="0002518E" w:rsidP="0002518E">
      <w:pPr>
        <w:spacing w:after="0" w:line="240" w:lineRule="auto"/>
      </w:pPr>
      <w:r>
        <w:separator/>
      </w:r>
    </w:p>
  </w:endnote>
  <w:endnote w:type="continuationSeparator" w:id="0">
    <w:p w14:paraId="74614E37" w14:textId="77777777" w:rsidR="0002518E" w:rsidRDefault="0002518E" w:rsidP="0002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4656" w14:textId="77777777" w:rsidR="00E410C9" w:rsidRDefault="00E4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25551"/>
      <w:docPartObj>
        <w:docPartGallery w:val="Page Numbers (Bottom of Page)"/>
        <w:docPartUnique/>
      </w:docPartObj>
    </w:sdtPr>
    <w:sdtEndPr/>
    <w:sdtContent>
      <w:sdt>
        <w:sdtPr>
          <w:id w:val="-1769616900"/>
          <w:docPartObj>
            <w:docPartGallery w:val="Page Numbers (Top of Page)"/>
            <w:docPartUnique/>
          </w:docPartObj>
        </w:sdtPr>
        <w:sdtEndPr/>
        <w:sdtContent>
          <w:p w14:paraId="0EDB36D5" w14:textId="3E85CE95" w:rsidR="00862781" w:rsidRDefault="0086278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711E6">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711E6">
              <w:rPr>
                <w:b/>
                <w:bCs/>
                <w:noProof/>
              </w:rPr>
              <w:t>5</w:t>
            </w:r>
            <w:r>
              <w:rPr>
                <w:b/>
                <w:bCs/>
                <w:sz w:val="24"/>
                <w:szCs w:val="24"/>
              </w:rPr>
              <w:fldChar w:fldCharType="end"/>
            </w:r>
          </w:p>
        </w:sdtContent>
      </w:sdt>
    </w:sdtContent>
  </w:sdt>
  <w:p w14:paraId="459B5768" w14:textId="77777777" w:rsidR="00862781" w:rsidRDefault="008627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62A4" w14:textId="77777777" w:rsidR="00E410C9" w:rsidRDefault="00E4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CB4" w14:textId="77777777" w:rsidR="0002518E" w:rsidRDefault="0002518E" w:rsidP="0002518E">
      <w:pPr>
        <w:spacing w:after="0" w:line="240" w:lineRule="auto"/>
      </w:pPr>
      <w:r>
        <w:separator/>
      </w:r>
    </w:p>
  </w:footnote>
  <w:footnote w:type="continuationSeparator" w:id="0">
    <w:p w14:paraId="7BF5E58A" w14:textId="77777777" w:rsidR="0002518E" w:rsidRDefault="0002518E" w:rsidP="0002518E">
      <w:pPr>
        <w:spacing w:after="0" w:line="240" w:lineRule="auto"/>
      </w:pPr>
      <w:r>
        <w:continuationSeparator/>
      </w:r>
    </w:p>
  </w:footnote>
  <w:footnote w:id="1">
    <w:p w14:paraId="779BBA4F" w14:textId="131E5E39" w:rsidR="00862781" w:rsidRDefault="00862781">
      <w:pPr>
        <w:pStyle w:val="Notedebasdepage"/>
      </w:pPr>
      <w:r>
        <w:rPr>
          <w:rStyle w:val="Appelnotedebasdep"/>
        </w:rPr>
        <w:footnoteRef/>
      </w:r>
      <w:r>
        <w:t xml:space="preserve"> Fiche N°8 – Compte personnel de formation</w:t>
      </w:r>
    </w:p>
  </w:footnote>
  <w:footnote w:id="2">
    <w:p w14:paraId="6DD72725" w14:textId="77777777" w:rsidR="009C6C08" w:rsidRDefault="009C6C08" w:rsidP="009C6C08">
      <w:pPr>
        <w:pStyle w:val="Notedebasdepage"/>
      </w:pPr>
      <w:r>
        <w:rPr>
          <w:rStyle w:val="Appelnotedebasdep"/>
        </w:rPr>
        <w:footnoteRef/>
      </w:r>
      <w:r>
        <w:t xml:space="preserve"> Agents mentionnés à l’article L422-3 du code général de la fonction publique</w:t>
      </w:r>
    </w:p>
  </w:footnote>
  <w:footnote w:id="3">
    <w:p w14:paraId="09329B7E" w14:textId="77777777" w:rsidR="003A340C" w:rsidRDefault="003A340C" w:rsidP="003A340C">
      <w:pPr>
        <w:pStyle w:val="Notedebasdepage"/>
      </w:pPr>
      <w:r>
        <w:rPr>
          <w:rStyle w:val="Appelnotedebasdep"/>
        </w:rPr>
        <w:footnoteRef/>
      </w:r>
      <w:r>
        <w:t xml:space="preserve"> Conditions fixées à l’article 27 du décret n°2007-1470 du 15 octobre 2007 modifié</w:t>
      </w:r>
      <w:bookmarkStart w:id="0" w:name="_GoBack"/>
      <w:bookmarkEnd w:id="0"/>
    </w:p>
  </w:footnote>
  <w:footnote w:id="4">
    <w:p w14:paraId="25EFF0CC" w14:textId="797C7FC5" w:rsidR="007711E6" w:rsidRDefault="007711E6">
      <w:pPr>
        <w:pStyle w:val="Notedebasdepage"/>
      </w:pPr>
      <w:r>
        <w:rPr>
          <w:rStyle w:val="Appelnotedebasdep"/>
        </w:rPr>
        <w:footnoteRef/>
      </w:r>
      <w:r>
        <w:t xml:space="preserve"> </w:t>
      </w:r>
      <w:hyperlink r:id="rId1" w:history="1">
        <w:r w:rsidRPr="007711E6">
          <w:rPr>
            <w:rStyle w:val="Lienhypertexte"/>
          </w:rPr>
          <w:t>https://formco.agriculture.gouv.fr/accueil-et-actualite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6F9E" w14:textId="58EAF87A" w:rsidR="00E410C9" w:rsidRDefault="00E4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78F6" w14:textId="494B5881" w:rsidR="00E410C9" w:rsidRDefault="00E4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7A41" w14:textId="567EC8D2" w:rsidR="00E410C9" w:rsidRDefault="00E4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C9"/>
    <w:multiLevelType w:val="hybridMultilevel"/>
    <w:tmpl w:val="8F308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0262F"/>
    <w:multiLevelType w:val="hybridMultilevel"/>
    <w:tmpl w:val="24AAFD0C"/>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35828"/>
    <w:multiLevelType w:val="hybridMultilevel"/>
    <w:tmpl w:val="7E46A87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AD3AC2"/>
    <w:multiLevelType w:val="hybridMultilevel"/>
    <w:tmpl w:val="DE6ED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3141E"/>
    <w:multiLevelType w:val="hybridMultilevel"/>
    <w:tmpl w:val="116CD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A22EF"/>
    <w:multiLevelType w:val="hybridMultilevel"/>
    <w:tmpl w:val="DDFEF9F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995D1D"/>
    <w:multiLevelType w:val="hybridMultilevel"/>
    <w:tmpl w:val="ECA0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A51150"/>
    <w:multiLevelType w:val="hybridMultilevel"/>
    <w:tmpl w:val="AE4ACD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36301196"/>
    <w:multiLevelType w:val="hybridMultilevel"/>
    <w:tmpl w:val="D31692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005C1F"/>
    <w:multiLevelType w:val="hybridMultilevel"/>
    <w:tmpl w:val="97A87FA8"/>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870BD"/>
    <w:multiLevelType w:val="hybridMultilevel"/>
    <w:tmpl w:val="94D4F22E"/>
    <w:lvl w:ilvl="0" w:tplc="298659E6">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17430F"/>
    <w:multiLevelType w:val="hybridMultilevel"/>
    <w:tmpl w:val="9AD2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865832"/>
    <w:multiLevelType w:val="hybridMultilevel"/>
    <w:tmpl w:val="3A867B22"/>
    <w:lvl w:ilvl="0" w:tplc="E8DE234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3479AC"/>
    <w:multiLevelType w:val="hybridMultilevel"/>
    <w:tmpl w:val="FACA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27382D"/>
    <w:multiLevelType w:val="hybridMultilevel"/>
    <w:tmpl w:val="AAE228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551755"/>
    <w:multiLevelType w:val="hybridMultilevel"/>
    <w:tmpl w:val="A3ACAA42"/>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C551F"/>
    <w:multiLevelType w:val="hybridMultilevel"/>
    <w:tmpl w:val="76260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F06192"/>
    <w:multiLevelType w:val="hybridMultilevel"/>
    <w:tmpl w:val="C35E7C70"/>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530B65"/>
    <w:multiLevelType w:val="hybridMultilevel"/>
    <w:tmpl w:val="A8984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DD7258E"/>
    <w:multiLevelType w:val="hybridMultilevel"/>
    <w:tmpl w:val="FECEB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C62D4F"/>
    <w:multiLevelType w:val="hybridMultilevel"/>
    <w:tmpl w:val="DFEAA3F0"/>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DE18F6"/>
    <w:multiLevelType w:val="hybridMultilevel"/>
    <w:tmpl w:val="AEA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
  </w:num>
  <w:num w:numId="4">
    <w:abstractNumId w:val="3"/>
  </w:num>
  <w:num w:numId="5">
    <w:abstractNumId w:val="6"/>
  </w:num>
  <w:num w:numId="6">
    <w:abstractNumId w:val="12"/>
  </w:num>
  <w:num w:numId="7">
    <w:abstractNumId w:val="18"/>
  </w:num>
  <w:num w:numId="8">
    <w:abstractNumId w:val="14"/>
  </w:num>
  <w:num w:numId="9">
    <w:abstractNumId w:val="2"/>
  </w:num>
  <w:num w:numId="10">
    <w:abstractNumId w:val="0"/>
  </w:num>
  <w:num w:numId="11">
    <w:abstractNumId w:val="16"/>
  </w:num>
  <w:num w:numId="12">
    <w:abstractNumId w:val="1"/>
  </w:num>
  <w:num w:numId="13">
    <w:abstractNumId w:val="17"/>
  </w:num>
  <w:num w:numId="14">
    <w:abstractNumId w:val="5"/>
  </w:num>
  <w:num w:numId="15">
    <w:abstractNumId w:val="13"/>
  </w:num>
  <w:num w:numId="16">
    <w:abstractNumId w:val="7"/>
  </w:num>
  <w:num w:numId="17">
    <w:abstractNumId w:val="15"/>
  </w:num>
  <w:num w:numId="18">
    <w:abstractNumId w:val="8"/>
  </w:num>
  <w:num w:numId="19">
    <w:abstractNumId w:val="19"/>
  </w:num>
  <w:num w:numId="20">
    <w:abstractNumId w:val="1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E"/>
    <w:rsid w:val="0002518E"/>
    <w:rsid w:val="000406D5"/>
    <w:rsid w:val="0009776C"/>
    <w:rsid w:val="000A591E"/>
    <w:rsid w:val="000D3771"/>
    <w:rsid w:val="000F361A"/>
    <w:rsid w:val="001253B1"/>
    <w:rsid w:val="00127A5D"/>
    <w:rsid w:val="001B6F52"/>
    <w:rsid w:val="001D615E"/>
    <w:rsid w:val="001E496A"/>
    <w:rsid w:val="00234CD3"/>
    <w:rsid w:val="00253361"/>
    <w:rsid w:val="00265231"/>
    <w:rsid w:val="0026711D"/>
    <w:rsid w:val="002677F5"/>
    <w:rsid w:val="002756A1"/>
    <w:rsid w:val="00280D31"/>
    <w:rsid w:val="002922B0"/>
    <w:rsid w:val="002D22AC"/>
    <w:rsid w:val="002E7BF8"/>
    <w:rsid w:val="002F239C"/>
    <w:rsid w:val="00307E1C"/>
    <w:rsid w:val="00310062"/>
    <w:rsid w:val="00314A9C"/>
    <w:rsid w:val="003602CC"/>
    <w:rsid w:val="003725EE"/>
    <w:rsid w:val="00375E48"/>
    <w:rsid w:val="003801DF"/>
    <w:rsid w:val="00384D71"/>
    <w:rsid w:val="00392450"/>
    <w:rsid w:val="003A1B74"/>
    <w:rsid w:val="003A340C"/>
    <w:rsid w:val="003A4D35"/>
    <w:rsid w:val="003C6B3B"/>
    <w:rsid w:val="00421BD6"/>
    <w:rsid w:val="004323E3"/>
    <w:rsid w:val="00443952"/>
    <w:rsid w:val="00486F07"/>
    <w:rsid w:val="004A4D15"/>
    <w:rsid w:val="004C585F"/>
    <w:rsid w:val="004D3BB9"/>
    <w:rsid w:val="0051371C"/>
    <w:rsid w:val="005501FB"/>
    <w:rsid w:val="00561206"/>
    <w:rsid w:val="005847D8"/>
    <w:rsid w:val="005A4951"/>
    <w:rsid w:val="005C4126"/>
    <w:rsid w:val="005E4BD6"/>
    <w:rsid w:val="00602845"/>
    <w:rsid w:val="00624F51"/>
    <w:rsid w:val="00653ED7"/>
    <w:rsid w:val="00654473"/>
    <w:rsid w:val="00674D39"/>
    <w:rsid w:val="006771ED"/>
    <w:rsid w:val="006E1FA2"/>
    <w:rsid w:val="006E3CA0"/>
    <w:rsid w:val="00704A6D"/>
    <w:rsid w:val="007268EE"/>
    <w:rsid w:val="007711E6"/>
    <w:rsid w:val="007771E7"/>
    <w:rsid w:val="007C53C5"/>
    <w:rsid w:val="007C749B"/>
    <w:rsid w:val="007D2EC3"/>
    <w:rsid w:val="008267B7"/>
    <w:rsid w:val="00844CBD"/>
    <w:rsid w:val="00854D57"/>
    <w:rsid w:val="00862781"/>
    <w:rsid w:val="008B04F4"/>
    <w:rsid w:val="009459F4"/>
    <w:rsid w:val="00986F2A"/>
    <w:rsid w:val="009902E6"/>
    <w:rsid w:val="00996969"/>
    <w:rsid w:val="009C6C08"/>
    <w:rsid w:val="009D0418"/>
    <w:rsid w:val="009E37DC"/>
    <w:rsid w:val="00A044DE"/>
    <w:rsid w:val="00A16F4E"/>
    <w:rsid w:val="00A52441"/>
    <w:rsid w:val="00A850D7"/>
    <w:rsid w:val="00AD461D"/>
    <w:rsid w:val="00AE3D39"/>
    <w:rsid w:val="00B16A9D"/>
    <w:rsid w:val="00B2553B"/>
    <w:rsid w:val="00B26C57"/>
    <w:rsid w:val="00B524F0"/>
    <w:rsid w:val="00B82E42"/>
    <w:rsid w:val="00B85C56"/>
    <w:rsid w:val="00B86A1A"/>
    <w:rsid w:val="00B90949"/>
    <w:rsid w:val="00BB6C15"/>
    <w:rsid w:val="00BC6327"/>
    <w:rsid w:val="00C450E0"/>
    <w:rsid w:val="00C879CC"/>
    <w:rsid w:val="00C951C9"/>
    <w:rsid w:val="00CB65A8"/>
    <w:rsid w:val="00CE212F"/>
    <w:rsid w:val="00D171A7"/>
    <w:rsid w:val="00D67079"/>
    <w:rsid w:val="00D94CCC"/>
    <w:rsid w:val="00DC3260"/>
    <w:rsid w:val="00DD2AF4"/>
    <w:rsid w:val="00E018DA"/>
    <w:rsid w:val="00E373D1"/>
    <w:rsid w:val="00E37CE5"/>
    <w:rsid w:val="00E410C9"/>
    <w:rsid w:val="00E6441D"/>
    <w:rsid w:val="00E65EF7"/>
    <w:rsid w:val="00E74E2C"/>
    <w:rsid w:val="00E92118"/>
    <w:rsid w:val="00EB4446"/>
    <w:rsid w:val="00EE310A"/>
    <w:rsid w:val="00EE6D92"/>
    <w:rsid w:val="00EF4F3C"/>
    <w:rsid w:val="00F036C1"/>
    <w:rsid w:val="00F16DD5"/>
    <w:rsid w:val="00F22188"/>
    <w:rsid w:val="00F23BA3"/>
    <w:rsid w:val="00F361F3"/>
    <w:rsid w:val="00F65C87"/>
    <w:rsid w:val="00F72490"/>
    <w:rsid w:val="00F7339B"/>
    <w:rsid w:val="00FC6EC2"/>
    <w:rsid w:val="00FD3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0A6E4"/>
  <w15:chartTrackingRefBased/>
  <w15:docId w15:val="{3B8E529C-4332-4A60-B356-CB0E467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91E"/>
    <w:pPr>
      <w:ind w:left="720"/>
      <w:contextualSpacing/>
    </w:pPr>
  </w:style>
  <w:style w:type="character" w:styleId="Marquedecommentaire">
    <w:name w:val="annotation reference"/>
    <w:basedOn w:val="Policepardfaut"/>
    <w:uiPriority w:val="99"/>
    <w:semiHidden/>
    <w:unhideWhenUsed/>
    <w:rsid w:val="004A4D15"/>
    <w:rPr>
      <w:sz w:val="16"/>
      <w:szCs w:val="16"/>
    </w:rPr>
  </w:style>
  <w:style w:type="paragraph" w:styleId="Commentaire">
    <w:name w:val="annotation text"/>
    <w:basedOn w:val="Normal"/>
    <w:link w:val="CommentaireCar"/>
    <w:uiPriority w:val="99"/>
    <w:semiHidden/>
    <w:unhideWhenUsed/>
    <w:rsid w:val="004A4D15"/>
    <w:pPr>
      <w:spacing w:line="240" w:lineRule="auto"/>
    </w:pPr>
    <w:rPr>
      <w:sz w:val="20"/>
      <w:szCs w:val="20"/>
    </w:rPr>
  </w:style>
  <w:style w:type="character" w:customStyle="1" w:styleId="CommentaireCar">
    <w:name w:val="Commentaire Car"/>
    <w:basedOn w:val="Policepardfaut"/>
    <w:link w:val="Commentaire"/>
    <w:uiPriority w:val="99"/>
    <w:semiHidden/>
    <w:rsid w:val="004A4D15"/>
    <w:rPr>
      <w:sz w:val="20"/>
      <w:szCs w:val="20"/>
    </w:rPr>
  </w:style>
  <w:style w:type="paragraph" w:styleId="Objetducommentaire">
    <w:name w:val="annotation subject"/>
    <w:basedOn w:val="Commentaire"/>
    <w:next w:val="Commentaire"/>
    <w:link w:val="ObjetducommentaireCar"/>
    <w:uiPriority w:val="99"/>
    <w:semiHidden/>
    <w:unhideWhenUsed/>
    <w:rsid w:val="004A4D15"/>
    <w:rPr>
      <w:b/>
      <w:bCs/>
    </w:rPr>
  </w:style>
  <w:style w:type="character" w:customStyle="1" w:styleId="ObjetducommentaireCar">
    <w:name w:val="Objet du commentaire Car"/>
    <w:basedOn w:val="CommentaireCar"/>
    <w:link w:val="Objetducommentaire"/>
    <w:uiPriority w:val="99"/>
    <w:semiHidden/>
    <w:rsid w:val="004A4D15"/>
    <w:rPr>
      <w:b/>
      <w:bCs/>
      <w:sz w:val="20"/>
      <w:szCs w:val="20"/>
    </w:rPr>
  </w:style>
  <w:style w:type="paragraph" w:styleId="Textedebulles">
    <w:name w:val="Balloon Text"/>
    <w:basedOn w:val="Normal"/>
    <w:link w:val="TextedebullesCar"/>
    <w:uiPriority w:val="99"/>
    <w:semiHidden/>
    <w:unhideWhenUsed/>
    <w:rsid w:val="004A4D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D15"/>
    <w:rPr>
      <w:rFonts w:ascii="Segoe UI" w:hAnsi="Segoe UI" w:cs="Segoe UI"/>
      <w:sz w:val="18"/>
      <w:szCs w:val="18"/>
    </w:rPr>
  </w:style>
  <w:style w:type="paragraph" w:styleId="Notedebasdepage">
    <w:name w:val="footnote text"/>
    <w:basedOn w:val="Normal"/>
    <w:link w:val="NotedebasdepageCar"/>
    <w:uiPriority w:val="99"/>
    <w:semiHidden/>
    <w:unhideWhenUsed/>
    <w:rsid w:val="000251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518E"/>
    <w:rPr>
      <w:sz w:val="20"/>
      <w:szCs w:val="20"/>
    </w:rPr>
  </w:style>
  <w:style w:type="character" w:styleId="Appelnotedebasdep">
    <w:name w:val="footnote reference"/>
    <w:basedOn w:val="Policepardfaut"/>
    <w:uiPriority w:val="99"/>
    <w:semiHidden/>
    <w:unhideWhenUsed/>
    <w:rsid w:val="0002518E"/>
    <w:rPr>
      <w:vertAlign w:val="superscript"/>
    </w:rPr>
  </w:style>
  <w:style w:type="table" w:styleId="Grilledutableau">
    <w:name w:val="Table Grid"/>
    <w:basedOn w:val="TableauNormal"/>
    <w:uiPriority w:val="39"/>
    <w:rsid w:val="003A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2781"/>
    <w:pPr>
      <w:tabs>
        <w:tab w:val="center" w:pos="4536"/>
        <w:tab w:val="right" w:pos="9072"/>
      </w:tabs>
      <w:spacing w:after="0" w:line="240" w:lineRule="auto"/>
    </w:pPr>
  </w:style>
  <w:style w:type="character" w:customStyle="1" w:styleId="En-tteCar">
    <w:name w:val="En-tête Car"/>
    <w:basedOn w:val="Policepardfaut"/>
    <w:link w:val="En-tte"/>
    <w:uiPriority w:val="99"/>
    <w:rsid w:val="00862781"/>
  </w:style>
  <w:style w:type="paragraph" w:styleId="Pieddepage">
    <w:name w:val="footer"/>
    <w:basedOn w:val="Normal"/>
    <w:link w:val="PieddepageCar"/>
    <w:uiPriority w:val="99"/>
    <w:unhideWhenUsed/>
    <w:rsid w:val="00862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781"/>
  </w:style>
  <w:style w:type="character" w:styleId="Lienhypertexte">
    <w:name w:val="Hyperlink"/>
    <w:basedOn w:val="Policepardfaut"/>
    <w:uiPriority w:val="99"/>
    <w:unhideWhenUsed/>
    <w:rsid w:val="00771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rmco.agriculture.gouv.fr/accueil-et-actu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4F42-D703-413A-80CB-D466F828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7461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LASNE</dc:creator>
  <cp:keywords/>
  <dc:description/>
  <cp:lastModifiedBy>Florence PINATEL IGOA</cp:lastModifiedBy>
  <cp:revision>4</cp:revision>
  <cp:lastPrinted>2022-07-22T13:09:00Z</cp:lastPrinted>
  <dcterms:created xsi:type="dcterms:W3CDTF">2022-11-09T13:07:00Z</dcterms:created>
  <dcterms:modified xsi:type="dcterms:W3CDTF">2022-12-07T23:09:00Z</dcterms:modified>
</cp:coreProperties>
</file>