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94CE" w14:textId="54B6A3E4" w:rsidR="000F4C7E" w:rsidRPr="003F56CE" w:rsidRDefault="000F4C7E" w:rsidP="003F56CE">
      <w:pPr>
        <w:spacing w:before="120" w:after="240"/>
        <w:jc w:val="right"/>
        <w:rPr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3F56CE">
        <w:rPr>
          <w:b/>
          <w:color w:val="538135" w:themeColor="accent6" w:themeShade="BF"/>
          <w:sz w:val="28"/>
          <w:szCs w:val="28"/>
        </w:rPr>
        <w:t>Fiche n°</w:t>
      </w:r>
      <w:r w:rsidR="00CB1734" w:rsidRPr="003F56CE">
        <w:rPr>
          <w:b/>
          <w:color w:val="538135" w:themeColor="accent6" w:themeShade="BF"/>
          <w:sz w:val="28"/>
          <w:szCs w:val="28"/>
        </w:rPr>
        <w:t>5</w:t>
      </w:r>
    </w:p>
    <w:tbl>
      <w:tblPr>
        <w:tblStyle w:val="Grilledutableau"/>
        <w:tblW w:w="0" w:type="auto"/>
        <w:tblBorders>
          <w:top w:val="double" w:sz="12" w:space="0" w:color="70AD47" w:themeColor="accent6"/>
          <w:left w:val="double" w:sz="12" w:space="0" w:color="70AD47" w:themeColor="accent6"/>
          <w:bottom w:val="double" w:sz="12" w:space="0" w:color="70AD47" w:themeColor="accent6"/>
          <w:right w:val="doub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3F56CE" w14:paraId="27AE47E4" w14:textId="77777777" w:rsidTr="008C62D0">
        <w:tc>
          <w:tcPr>
            <w:tcW w:w="8982" w:type="dxa"/>
          </w:tcPr>
          <w:p w14:paraId="39ACD330" w14:textId="4E6D06EE" w:rsidR="003F56CE" w:rsidRDefault="0056396F" w:rsidP="008C62D0">
            <w:pPr>
              <w:spacing w:before="240" w:after="24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La </w:t>
            </w:r>
            <w:r w:rsidR="003F56CE" w:rsidRPr="003F56CE">
              <w:rPr>
                <w:b/>
                <w:color w:val="538135" w:themeColor="accent6" w:themeShade="BF"/>
                <w:sz w:val="28"/>
                <w:szCs w:val="28"/>
              </w:rPr>
              <w:t>validation des acquis de l’expérience (VAE)</w:t>
            </w:r>
            <w:r w:rsidR="00AB4EBA">
              <w:rPr>
                <w:b/>
                <w:color w:val="538135" w:themeColor="accent6" w:themeShade="BF"/>
                <w:sz w:val="28"/>
                <w:szCs w:val="28"/>
              </w:rPr>
              <w:t> :</w:t>
            </w:r>
          </w:p>
          <w:p w14:paraId="5A9BD7AF" w14:textId="5EFE11F0" w:rsidR="0087769C" w:rsidRDefault="0087769C" w:rsidP="003C795F">
            <w:pPr>
              <w:spacing w:before="240" w:after="240"/>
              <w:jc w:val="center"/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 xml:space="preserve">congé </w:t>
            </w:r>
            <w:r w:rsidR="003C795F">
              <w:rPr>
                <w:b/>
                <w:color w:val="538135" w:themeColor="accent6" w:themeShade="BF"/>
                <w:sz w:val="28"/>
                <w:szCs w:val="28"/>
              </w:rPr>
              <w:t>et actions de formation à la préparation</w:t>
            </w:r>
          </w:p>
        </w:tc>
      </w:tr>
    </w:tbl>
    <w:p w14:paraId="4012509A" w14:textId="1093C436" w:rsidR="000F4C7E" w:rsidRDefault="000F4C7E" w:rsidP="001158EF">
      <w:pPr>
        <w:spacing w:before="120" w:after="0"/>
      </w:pPr>
    </w:p>
    <w:p w14:paraId="5E99180F" w14:textId="0398C57F" w:rsidR="000A591E" w:rsidRPr="003F56CE" w:rsidRDefault="003F56CE" w:rsidP="003F56C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Qu’est-ce que</w:t>
      </w:r>
      <w:r w:rsidRPr="003F56CE">
        <w:t xml:space="preserve"> </w:t>
      </w:r>
      <w:r>
        <w:rPr>
          <w:b/>
          <w:color w:val="538135" w:themeColor="accent6" w:themeShade="BF"/>
          <w:sz w:val="24"/>
          <w:szCs w:val="24"/>
        </w:rPr>
        <w:t>l</w:t>
      </w:r>
      <w:r w:rsidRPr="003F56CE">
        <w:rPr>
          <w:b/>
          <w:color w:val="538135" w:themeColor="accent6" w:themeShade="BF"/>
          <w:sz w:val="24"/>
          <w:szCs w:val="24"/>
        </w:rPr>
        <w:t>a validation des acquis de l’expérience</w:t>
      </w:r>
      <w:r>
        <w:rPr>
          <w:b/>
          <w:color w:val="538135" w:themeColor="accent6" w:themeShade="BF"/>
          <w:sz w:val="24"/>
          <w:szCs w:val="24"/>
        </w:rPr>
        <w:t> ?</w:t>
      </w:r>
    </w:p>
    <w:p w14:paraId="45439884" w14:textId="4E09D21B" w:rsidR="003F56CE" w:rsidRDefault="00FD6B73" w:rsidP="001158EF">
      <w:pPr>
        <w:spacing w:before="120" w:after="0"/>
        <w:jc w:val="both"/>
      </w:pPr>
      <w:r>
        <w:t>La VAE</w:t>
      </w:r>
      <w:r w:rsidR="00AB4EBA">
        <w:rPr>
          <w:rStyle w:val="Appelnotedebasdep"/>
        </w:rPr>
        <w:footnoteReference w:id="1"/>
      </w:r>
      <w:r>
        <w:t xml:space="preserve"> est </w:t>
      </w:r>
      <w:r w:rsidR="004A36F9">
        <w:t>la reconnaissance par un organisme certificateur des compétences acquises dans le cadre de l’expérience professionnelle</w:t>
      </w:r>
      <w:r w:rsidR="003A4D96">
        <w:t xml:space="preserve"> ou personnelle</w:t>
      </w:r>
      <w:r w:rsidR="004253DC">
        <w:t xml:space="preserve">, </w:t>
      </w:r>
      <w:r w:rsidR="0056396F">
        <w:t>d’</w:t>
      </w:r>
      <w:r w:rsidR="004253DC">
        <w:t xml:space="preserve">un mandat électif ou </w:t>
      </w:r>
      <w:r w:rsidR="0056396F">
        <w:t xml:space="preserve">d’activités </w:t>
      </w:r>
      <w:r w:rsidR="004253DC">
        <w:t>associati</w:t>
      </w:r>
      <w:r w:rsidR="0056396F">
        <w:t>ves</w:t>
      </w:r>
      <w:r w:rsidR="004A36F9">
        <w:t>. Il s’agit d’une validation</w:t>
      </w:r>
      <w:r w:rsidR="00784EC2">
        <w:t xml:space="preserve"> des compétences mises en œuvre </w:t>
      </w:r>
      <w:r w:rsidR="00E4239A">
        <w:t xml:space="preserve">à l’occasion des </w:t>
      </w:r>
      <w:r w:rsidR="003A4D96">
        <w:t>activités</w:t>
      </w:r>
      <w:r w:rsidR="00E4239A">
        <w:t xml:space="preserve"> de l’agent</w:t>
      </w:r>
      <w:r w:rsidR="00784EC2">
        <w:t xml:space="preserve"> et qui sont en rapport direct avec la certification visée</w:t>
      </w:r>
      <w:r w:rsidR="004A36F9">
        <w:t xml:space="preserve">. </w:t>
      </w:r>
    </w:p>
    <w:p w14:paraId="63056486" w14:textId="50C84050" w:rsidR="00F40804" w:rsidRDefault="00784EC2" w:rsidP="001158EF">
      <w:pPr>
        <w:spacing w:before="120" w:after="0"/>
        <w:jc w:val="both"/>
      </w:pPr>
      <w:r w:rsidRPr="00444C64">
        <w:rPr>
          <w:b/>
        </w:rPr>
        <w:t>La VAE n’est pas une conversion automatique de l’</w:t>
      </w:r>
      <w:r w:rsidR="00E4239A" w:rsidRPr="00444C64">
        <w:rPr>
          <w:b/>
        </w:rPr>
        <w:t>expérience en certification</w:t>
      </w:r>
      <w:r w:rsidR="003F56CE" w:rsidRPr="00444C64">
        <w:rPr>
          <w:b/>
        </w:rPr>
        <w:t xml:space="preserve"> et </w:t>
      </w:r>
      <w:r w:rsidR="002E2695" w:rsidRPr="00444C64">
        <w:rPr>
          <w:b/>
        </w:rPr>
        <w:t xml:space="preserve">ce n’est </w:t>
      </w:r>
      <w:r w:rsidRPr="00444C64">
        <w:rPr>
          <w:b/>
        </w:rPr>
        <w:t>pas non plus de la formation</w:t>
      </w:r>
      <w:r>
        <w:t xml:space="preserve">. </w:t>
      </w:r>
    </w:p>
    <w:p w14:paraId="295680B2" w14:textId="028B8BC1" w:rsidR="00784EC2" w:rsidRDefault="00784EC2" w:rsidP="001158EF">
      <w:pPr>
        <w:spacing w:before="120" w:after="0"/>
        <w:jc w:val="both"/>
      </w:pPr>
      <w:r>
        <w:t xml:space="preserve">La VAE a pour objectifs : </w:t>
      </w:r>
    </w:p>
    <w:p w14:paraId="3E7D0D0E" w14:textId="68974DA2" w:rsidR="00784EC2" w:rsidRDefault="00E4239A" w:rsidP="003F56CE">
      <w:pPr>
        <w:pStyle w:val="Paragraphedeliste"/>
        <w:numPr>
          <w:ilvl w:val="0"/>
          <w:numId w:val="3"/>
        </w:numPr>
        <w:spacing w:before="60" w:after="0"/>
        <w:ind w:left="714" w:hanging="357"/>
        <w:contextualSpacing w:val="0"/>
        <w:jc w:val="both"/>
      </w:pPr>
      <w:r>
        <w:t>d</w:t>
      </w:r>
      <w:r w:rsidR="00784EC2">
        <w:t>’</w:t>
      </w:r>
      <w:r w:rsidR="003A4D96">
        <w:t>obtenir un diplôme,</w:t>
      </w:r>
      <w:r w:rsidR="005841F3">
        <w:t xml:space="preserve"> un titre ou </w:t>
      </w:r>
      <w:r>
        <w:t>une certification inscrit</w:t>
      </w:r>
      <w:r w:rsidR="005841F3">
        <w:t>e</w:t>
      </w:r>
      <w:r>
        <w:t xml:space="preserve"> au </w:t>
      </w:r>
      <w:r w:rsidRPr="00E4239A">
        <w:t>répertoire national des certifications professionnelles (RNCP)</w:t>
      </w:r>
      <w:r>
        <w:t> ;</w:t>
      </w:r>
    </w:p>
    <w:p w14:paraId="3B1E5D51" w14:textId="7F0EBD4C" w:rsidR="00784EC2" w:rsidRDefault="00E4239A" w:rsidP="003F56CE">
      <w:pPr>
        <w:pStyle w:val="Paragraphedeliste"/>
        <w:numPr>
          <w:ilvl w:val="0"/>
          <w:numId w:val="3"/>
        </w:numPr>
        <w:spacing w:before="60" w:after="0"/>
        <w:ind w:left="714" w:hanging="357"/>
        <w:contextualSpacing w:val="0"/>
        <w:jc w:val="both"/>
      </w:pPr>
      <w:r>
        <w:t>m</w:t>
      </w:r>
      <w:r w:rsidR="00784EC2">
        <w:t xml:space="preserve">ettre en cohérence sa certification avec son niveau </w:t>
      </w:r>
      <w:r w:rsidR="003F56CE">
        <w:t>d</w:t>
      </w:r>
      <w:r w:rsidR="00784EC2">
        <w:t>e responsabilité</w:t>
      </w:r>
      <w:r>
        <w:t> ;</w:t>
      </w:r>
    </w:p>
    <w:p w14:paraId="2D20DFBD" w14:textId="1D38823E" w:rsidR="00784EC2" w:rsidRDefault="00E4239A" w:rsidP="003F56CE">
      <w:pPr>
        <w:pStyle w:val="Paragraphedeliste"/>
        <w:numPr>
          <w:ilvl w:val="0"/>
          <w:numId w:val="3"/>
        </w:numPr>
        <w:spacing w:before="60" w:after="0"/>
        <w:ind w:left="714" w:hanging="357"/>
        <w:contextualSpacing w:val="0"/>
        <w:jc w:val="both"/>
      </w:pPr>
      <w:r>
        <w:t>v</w:t>
      </w:r>
      <w:r w:rsidR="00784EC2">
        <w:t>alider son expérience et faire reconnaitre ses compétences</w:t>
      </w:r>
      <w:r>
        <w:t> ;</w:t>
      </w:r>
    </w:p>
    <w:p w14:paraId="14CC9B06" w14:textId="746990CF" w:rsidR="00784EC2" w:rsidRDefault="00E4239A" w:rsidP="003F56CE">
      <w:pPr>
        <w:pStyle w:val="Paragraphedeliste"/>
        <w:numPr>
          <w:ilvl w:val="0"/>
          <w:numId w:val="3"/>
        </w:numPr>
        <w:spacing w:before="60" w:after="0"/>
        <w:ind w:left="714" w:hanging="357"/>
        <w:contextualSpacing w:val="0"/>
        <w:jc w:val="both"/>
      </w:pPr>
      <w:r>
        <w:t>c</w:t>
      </w:r>
      <w:r w:rsidR="00784EC2">
        <w:t xml:space="preserve">hanger d’emploi et évoluer professionnellement. </w:t>
      </w:r>
    </w:p>
    <w:p w14:paraId="5730D3BA" w14:textId="45B6EB89" w:rsidR="000E5029" w:rsidRDefault="0056396F" w:rsidP="000E5029">
      <w:pPr>
        <w:spacing w:before="120" w:after="0"/>
        <w:jc w:val="both"/>
      </w:pPr>
      <w:r>
        <w:t xml:space="preserve">Dans une démarche de VAE, </w:t>
      </w:r>
      <w:r w:rsidR="000E5029">
        <w:t xml:space="preserve">l’agent pourra être mis en situation professionnelle ou présenter </w:t>
      </w:r>
      <w:r>
        <w:t>un</w:t>
      </w:r>
      <w:r w:rsidR="000E5029">
        <w:t xml:space="preserve"> dossier </w:t>
      </w:r>
      <w:r>
        <w:t xml:space="preserve">décrivant son expérience à un organisme ou </w:t>
      </w:r>
      <w:r w:rsidR="000E5029">
        <w:t xml:space="preserve">devant un jury. </w:t>
      </w:r>
      <w:r w:rsidR="003A4D96">
        <w:t>À</w:t>
      </w:r>
      <w:r>
        <w:t xml:space="preserve"> l’issue d’un entretien avec l’agent, l</w:t>
      </w:r>
      <w:r w:rsidR="000E5029">
        <w:t xml:space="preserve">e jury prononcera une validation totale, partielle ou un refus de validation. </w:t>
      </w:r>
    </w:p>
    <w:p w14:paraId="10E554BB" w14:textId="5B906A69" w:rsidR="000E5029" w:rsidRDefault="000E5029" w:rsidP="000E5029">
      <w:pPr>
        <w:spacing w:before="120" w:after="0"/>
        <w:jc w:val="both"/>
      </w:pPr>
      <w:r>
        <w:t xml:space="preserve">L’ensemble de la démarche dure entre huit et douze mois. </w:t>
      </w:r>
    </w:p>
    <w:p w14:paraId="44679DE9" w14:textId="173CDE4D" w:rsidR="000A591E" w:rsidRPr="003F56CE" w:rsidRDefault="000F4C7E" w:rsidP="003F56C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F56CE">
        <w:rPr>
          <w:b/>
          <w:color w:val="538135" w:themeColor="accent6" w:themeShade="BF"/>
          <w:sz w:val="24"/>
          <w:szCs w:val="24"/>
        </w:rPr>
        <w:t>Qui peut mobiliser</w:t>
      </w:r>
      <w:r w:rsidR="0056396F">
        <w:rPr>
          <w:b/>
          <w:color w:val="538135" w:themeColor="accent6" w:themeShade="BF"/>
          <w:sz w:val="24"/>
          <w:szCs w:val="24"/>
        </w:rPr>
        <w:t xml:space="preserve"> un congé pour VAE</w:t>
      </w:r>
      <w:r w:rsidRPr="003F56CE">
        <w:rPr>
          <w:b/>
          <w:color w:val="538135" w:themeColor="accent6" w:themeShade="BF"/>
          <w:sz w:val="24"/>
          <w:szCs w:val="24"/>
        </w:rPr>
        <w:t xml:space="preserve"> ? </w:t>
      </w:r>
    </w:p>
    <w:p w14:paraId="5621DABF" w14:textId="2E9D46C4" w:rsidR="00AA6FAA" w:rsidRDefault="00B51790" w:rsidP="00E4239A">
      <w:pPr>
        <w:spacing w:before="120" w:after="0"/>
        <w:jc w:val="both"/>
      </w:pPr>
      <w:r w:rsidRPr="00444C64">
        <w:rPr>
          <w:b/>
        </w:rPr>
        <w:t xml:space="preserve">Tout agent public peut solliciter </w:t>
      </w:r>
      <w:r w:rsidR="00E4239A" w:rsidRPr="00444C64">
        <w:rPr>
          <w:b/>
        </w:rPr>
        <w:t xml:space="preserve">des actions de formation en vue de </w:t>
      </w:r>
      <w:r w:rsidR="00EB7F24" w:rsidRPr="00444C64">
        <w:rPr>
          <w:b/>
        </w:rPr>
        <w:t>préparer</w:t>
      </w:r>
      <w:r w:rsidR="00E4239A" w:rsidRPr="00444C64">
        <w:rPr>
          <w:b/>
        </w:rPr>
        <w:t xml:space="preserve"> </w:t>
      </w:r>
      <w:r w:rsidRPr="00444C64">
        <w:rPr>
          <w:b/>
        </w:rPr>
        <w:t>une validation des acquis de l’expérience</w:t>
      </w:r>
      <w:r>
        <w:t>.</w:t>
      </w:r>
      <w:r w:rsidR="00B952AC">
        <w:t xml:space="preserve"> Pour suivre ces actions de formation à la préparation à la VAE, </w:t>
      </w:r>
      <w:r w:rsidR="00794F7D">
        <w:t>l</w:t>
      </w:r>
      <w:r w:rsidR="00ED7317" w:rsidRPr="00ED7317">
        <w:t>’agent en activité a le droit à un congé pour validation des acquis de l’expérience</w:t>
      </w:r>
      <w:r w:rsidR="000E491C">
        <w:t xml:space="preserve"> </w:t>
      </w:r>
      <w:r w:rsidR="000E491C" w:rsidRPr="000E491C">
        <w:rPr>
          <w:b/>
        </w:rPr>
        <w:t>d’une durée maximale de</w:t>
      </w:r>
      <w:r w:rsidR="000E491C">
        <w:t xml:space="preserve"> </w:t>
      </w:r>
      <w:r w:rsidR="00B952AC" w:rsidRPr="00EB7F24">
        <w:rPr>
          <w:b/>
        </w:rPr>
        <w:t>24</w:t>
      </w:r>
      <w:r w:rsidR="0088547B">
        <w:rPr>
          <w:b/>
        </w:rPr>
        <w:t xml:space="preserve"> </w:t>
      </w:r>
      <w:r w:rsidR="00B952AC" w:rsidRPr="00EB7F24">
        <w:rPr>
          <w:b/>
        </w:rPr>
        <w:t>h</w:t>
      </w:r>
      <w:r w:rsidR="0088547B">
        <w:rPr>
          <w:b/>
        </w:rPr>
        <w:t>eures</w:t>
      </w:r>
      <w:r w:rsidR="0088547B">
        <w:rPr>
          <w:rStyle w:val="Appelnotedebasdep"/>
          <w:b/>
        </w:rPr>
        <w:footnoteReference w:id="2"/>
      </w:r>
      <w:r w:rsidR="00B952AC">
        <w:t xml:space="preserve">. </w:t>
      </w:r>
    </w:p>
    <w:p w14:paraId="18D8D078" w14:textId="0E1BF6A3" w:rsidR="00D46AC5" w:rsidRDefault="003F56CE" w:rsidP="00E4239A">
      <w:pPr>
        <w:spacing w:before="120" w:after="0"/>
        <w:jc w:val="both"/>
      </w:pPr>
      <w:r>
        <w:t>Le</w:t>
      </w:r>
      <w:r w:rsidR="00D46AC5">
        <w:t xml:space="preserve"> public cible de la VAE est l’agent ayant une expérience professionnelle suffisamment </w:t>
      </w:r>
      <w:r w:rsidR="00E4239A">
        <w:t xml:space="preserve">riche et </w:t>
      </w:r>
      <w:r w:rsidR="00D46AC5">
        <w:t>longue pour</w:t>
      </w:r>
      <w:r w:rsidR="00E4239A">
        <w:t xml:space="preserve"> pouvoir</w:t>
      </w:r>
      <w:r w:rsidR="00D46AC5">
        <w:t xml:space="preserve"> valoriser </w:t>
      </w:r>
      <w:r w:rsidR="00E4239A">
        <w:t>les compétences</w:t>
      </w:r>
      <w:r w:rsidR="0056396F" w:rsidRPr="0056396F">
        <w:t xml:space="preserve"> </w:t>
      </w:r>
      <w:r w:rsidR="0056396F">
        <w:t>professionnelles</w:t>
      </w:r>
      <w:r w:rsidR="00E4239A">
        <w:t xml:space="preserve"> acquises et obtenir la validation </w:t>
      </w:r>
      <w:r w:rsidR="00D46AC5">
        <w:t>d</w:t>
      </w:r>
      <w:r w:rsidR="00E4239A">
        <w:t>’</w:t>
      </w:r>
      <w:r w:rsidR="00D46AC5">
        <w:t>u</w:t>
      </w:r>
      <w:r w:rsidR="00E4239A">
        <w:t>n</w:t>
      </w:r>
      <w:r w:rsidR="00D46AC5">
        <w:t xml:space="preserve"> diplôme, </w:t>
      </w:r>
      <w:r w:rsidR="00E4239A">
        <w:t xml:space="preserve">d’une </w:t>
      </w:r>
      <w:r w:rsidR="00D46AC5">
        <w:t xml:space="preserve">certification ou </w:t>
      </w:r>
      <w:r w:rsidR="00E4239A">
        <w:t xml:space="preserve">d’un </w:t>
      </w:r>
      <w:r w:rsidR="00D46AC5">
        <w:t xml:space="preserve">titre </w:t>
      </w:r>
      <w:r w:rsidR="00E4239A">
        <w:t>nécessaire à</w:t>
      </w:r>
      <w:r w:rsidR="00D46AC5">
        <w:t xml:space="preserve"> son évolution professionnelle </w:t>
      </w:r>
      <w:r w:rsidR="00794F7D">
        <w:t xml:space="preserve">à court ou moyen terme </w:t>
      </w:r>
      <w:r w:rsidR="00D46AC5">
        <w:t xml:space="preserve">et </w:t>
      </w:r>
      <w:r w:rsidR="0056396F">
        <w:t xml:space="preserve">éventuellement </w:t>
      </w:r>
      <w:r w:rsidR="00D46AC5">
        <w:t xml:space="preserve">sa mobilité. </w:t>
      </w:r>
    </w:p>
    <w:p w14:paraId="09178D0A" w14:textId="2512D3E5" w:rsidR="00E4239A" w:rsidRDefault="00E4239A" w:rsidP="00E4239A">
      <w:pPr>
        <w:spacing w:before="120" w:after="0"/>
        <w:jc w:val="both"/>
        <w:rPr>
          <w:b/>
        </w:rPr>
      </w:pPr>
      <w:r w:rsidRPr="0056396F">
        <w:rPr>
          <w:b/>
        </w:rPr>
        <w:lastRenderedPageBreak/>
        <w:t xml:space="preserve">Au </w:t>
      </w:r>
      <w:r w:rsidR="005841F3" w:rsidRPr="0056396F">
        <w:rPr>
          <w:b/>
        </w:rPr>
        <w:t>ministère chargé de l’agriculture,</w:t>
      </w:r>
      <w:r w:rsidRPr="0056396F">
        <w:rPr>
          <w:b/>
        </w:rPr>
        <w:t xml:space="preserve"> les actions de formation en vue d’une VAE s’inscrive</w:t>
      </w:r>
      <w:r w:rsidR="005841F3" w:rsidRPr="0056396F">
        <w:rPr>
          <w:b/>
        </w:rPr>
        <w:t>nt</w:t>
      </w:r>
      <w:r w:rsidRPr="0056396F">
        <w:rPr>
          <w:b/>
        </w:rPr>
        <w:t xml:space="preserve"> dans un projet d’évolution professionnelle</w:t>
      </w:r>
      <w:r w:rsidR="00AB4EBA">
        <w:rPr>
          <w:b/>
        </w:rPr>
        <w:t>, à court et moyen terme,</w:t>
      </w:r>
      <w:r w:rsidRPr="0056396F">
        <w:rPr>
          <w:b/>
        </w:rPr>
        <w:t xml:space="preserve"> et donc </w:t>
      </w:r>
      <w:r w:rsidR="00B952AC" w:rsidRPr="0056396F">
        <w:rPr>
          <w:b/>
        </w:rPr>
        <w:t>relèvent</w:t>
      </w:r>
      <w:r w:rsidR="00444C64">
        <w:rPr>
          <w:b/>
        </w:rPr>
        <w:t xml:space="preserve"> du compte personnel de formation (C</w:t>
      </w:r>
      <w:r w:rsidRPr="0056396F">
        <w:rPr>
          <w:b/>
        </w:rPr>
        <w:t>PF</w:t>
      </w:r>
      <w:r w:rsidR="00444C64">
        <w:rPr>
          <w:b/>
        </w:rPr>
        <w:t>)</w:t>
      </w:r>
      <w:r w:rsidR="00444C64">
        <w:rPr>
          <w:rStyle w:val="Appelnotedebasdep"/>
          <w:b/>
        </w:rPr>
        <w:footnoteReference w:id="3"/>
      </w:r>
      <w:r w:rsidRPr="0056396F">
        <w:rPr>
          <w:b/>
        </w:rPr>
        <w:t>.</w:t>
      </w:r>
    </w:p>
    <w:p w14:paraId="77A5D413" w14:textId="779F6BAB" w:rsidR="00444C64" w:rsidRDefault="00444C64" w:rsidP="00E4239A">
      <w:pPr>
        <w:spacing w:before="120" w:after="0"/>
        <w:jc w:val="both"/>
        <w:rPr>
          <w:b/>
        </w:rPr>
      </w:pPr>
    </w:p>
    <w:p w14:paraId="5A5BD00C" w14:textId="1FE9FE56" w:rsidR="000E5029" w:rsidRDefault="00AB4EBA" w:rsidP="00AB4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jc w:val="both"/>
      </w:pPr>
      <w:r>
        <w:rPr>
          <w:b/>
          <w:color w:val="538135" w:themeColor="accent6" w:themeShade="BF"/>
        </w:rPr>
        <w:t>P</w:t>
      </w:r>
      <w:r w:rsidR="00EB7F24" w:rsidRPr="00EB7F24">
        <w:rPr>
          <w:b/>
          <w:color w:val="538135" w:themeColor="accent6" w:themeShade="BF"/>
        </w:rPr>
        <w:t>our les agents dont les droits à formation sont renforcés</w:t>
      </w:r>
      <w:r w:rsidR="00EB7F24" w:rsidRPr="00EB7F24">
        <w:rPr>
          <w:rStyle w:val="Appelnotedebasdep"/>
          <w:b/>
          <w:color w:val="538135" w:themeColor="accent6" w:themeShade="BF"/>
        </w:rPr>
        <w:footnoteReference w:id="4"/>
      </w:r>
      <w:r w:rsidR="00EB7F24" w:rsidRPr="00EB7F24">
        <w:rPr>
          <w:b/>
          <w:color w:val="538135" w:themeColor="accent6" w:themeShade="BF"/>
        </w:rPr>
        <w:t> :</w:t>
      </w:r>
      <w:r w:rsidR="00EB7F24">
        <w:rPr>
          <w:b/>
          <w:color w:val="538135" w:themeColor="accent6" w:themeShade="BF"/>
          <w:sz w:val="24"/>
          <w:szCs w:val="24"/>
        </w:rPr>
        <w:t xml:space="preserve"> </w:t>
      </w:r>
      <w:r>
        <w:t>p</w:t>
      </w:r>
      <w:r w:rsidR="00EB7F24" w:rsidRPr="00EB7F24">
        <w:t>our suivre ces actions</w:t>
      </w:r>
      <w:r w:rsidR="0088547B">
        <w:t xml:space="preserve"> de préparation à la VAE</w:t>
      </w:r>
      <w:r w:rsidR="00EB7F24" w:rsidRPr="00EB7F24">
        <w:t xml:space="preserve">, l’agent bénéficie d’un congé pour validation des acquis de l’expérience porté à </w:t>
      </w:r>
      <w:r w:rsidR="00EB7F24" w:rsidRPr="000E491C">
        <w:rPr>
          <w:b/>
        </w:rPr>
        <w:t>72 heures</w:t>
      </w:r>
      <w:r w:rsidR="00EB7F24" w:rsidRPr="00EB7F24">
        <w:t xml:space="preserve">. </w:t>
      </w:r>
    </w:p>
    <w:p w14:paraId="2E549CFD" w14:textId="3A32CFA8" w:rsidR="000A591E" w:rsidRPr="003F56CE" w:rsidRDefault="000A591E" w:rsidP="003F56C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 w:rsidRPr="003F56CE">
        <w:rPr>
          <w:b/>
          <w:color w:val="538135" w:themeColor="accent6" w:themeShade="BF"/>
          <w:sz w:val="24"/>
          <w:szCs w:val="24"/>
        </w:rPr>
        <w:t xml:space="preserve">Comment </w:t>
      </w:r>
      <w:r w:rsidR="00245280" w:rsidRPr="003F56CE">
        <w:rPr>
          <w:b/>
          <w:color w:val="538135" w:themeColor="accent6" w:themeShade="BF"/>
          <w:sz w:val="24"/>
          <w:szCs w:val="24"/>
        </w:rPr>
        <w:t>mobiliser</w:t>
      </w:r>
      <w:r w:rsidR="0056396F">
        <w:rPr>
          <w:b/>
          <w:color w:val="538135" w:themeColor="accent6" w:themeShade="BF"/>
          <w:sz w:val="24"/>
          <w:szCs w:val="24"/>
        </w:rPr>
        <w:t xml:space="preserve"> </w:t>
      </w:r>
      <w:r w:rsidR="000E5029">
        <w:rPr>
          <w:b/>
          <w:color w:val="538135" w:themeColor="accent6" w:themeShade="BF"/>
          <w:sz w:val="24"/>
          <w:szCs w:val="24"/>
        </w:rPr>
        <w:t xml:space="preserve">du temps de préparation à la VAE et un éventuel financement des formations de préparation à la VAE </w:t>
      </w:r>
      <w:r w:rsidRPr="003F56CE">
        <w:rPr>
          <w:b/>
          <w:color w:val="538135" w:themeColor="accent6" w:themeShade="BF"/>
          <w:sz w:val="24"/>
          <w:szCs w:val="24"/>
        </w:rPr>
        <w:t xml:space="preserve">? </w:t>
      </w:r>
    </w:p>
    <w:p w14:paraId="1AEF4381" w14:textId="3B183485" w:rsidR="00B952AC" w:rsidRDefault="00B952AC" w:rsidP="00ED7317">
      <w:pPr>
        <w:pStyle w:val="Paragraphedeliste"/>
        <w:numPr>
          <w:ilvl w:val="0"/>
          <w:numId w:val="4"/>
        </w:numPr>
        <w:spacing w:before="240" w:after="0"/>
        <w:ind w:left="714" w:hanging="357"/>
        <w:contextualSpacing w:val="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Obtenir</w:t>
      </w:r>
      <w:r w:rsidRPr="00B952AC">
        <w:rPr>
          <w:b/>
          <w:color w:val="538135" w:themeColor="accent6" w:themeShade="BF"/>
          <w:sz w:val="24"/>
          <w:szCs w:val="24"/>
        </w:rPr>
        <w:t xml:space="preserve"> du temps de préparation à la VAE </w:t>
      </w:r>
    </w:p>
    <w:p w14:paraId="07B30801" w14:textId="05AB8AA9" w:rsidR="000E5029" w:rsidRDefault="000E5029" w:rsidP="000E5029">
      <w:pPr>
        <w:spacing w:before="120" w:after="0"/>
        <w:jc w:val="both"/>
      </w:pPr>
      <w:r>
        <w:t>L’agent peut bénéficier d’actions de formation afin de préparer une VAE</w:t>
      </w:r>
      <w:r w:rsidR="00ED7317">
        <w:t xml:space="preserve">, avec </w:t>
      </w:r>
      <w:r>
        <w:t xml:space="preserve">un congé pour validation des acquis de l’expérience, éventuellement fractionnable, qui ne peut excéder annuellement </w:t>
      </w:r>
      <w:r w:rsidRPr="0088547B">
        <w:rPr>
          <w:b/>
        </w:rPr>
        <w:t>24</w:t>
      </w:r>
      <w:r w:rsidR="0088547B" w:rsidRPr="0088547B">
        <w:rPr>
          <w:b/>
        </w:rPr>
        <w:t> </w:t>
      </w:r>
      <w:r w:rsidRPr="0088547B">
        <w:rPr>
          <w:b/>
        </w:rPr>
        <w:t>h</w:t>
      </w:r>
      <w:r w:rsidR="0088547B" w:rsidRPr="0088547B">
        <w:rPr>
          <w:b/>
        </w:rPr>
        <w:t>eures</w:t>
      </w:r>
      <w:r w:rsidRPr="0088547B">
        <w:rPr>
          <w:b/>
        </w:rPr>
        <w:t xml:space="preserve"> de temps de service</w:t>
      </w:r>
      <w:r w:rsidR="0088547B">
        <w:t>. Le congé est</w:t>
      </w:r>
      <w:r w:rsidR="000E491C">
        <w:t xml:space="preserve"> </w:t>
      </w:r>
      <w:r w:rsidR="0088547B">
        <w:t>porté</w:t>
      </w:r>
      <w:r w:rsidR="000E491C">
        <w:t xml:space="preserve"> </w:t>
      </w:r>
      <w:r w:rsidR="0088547B">
        <w:t xml:space="preserve">à </w:t>
      </w:r>
      <w:r w:rsidR="000E491C" w:rsidRPr="0088547B">
        <w:rPr>
          <w:b/>
        </w:rPr>
        <w:t>72</w:t>
      </w:r>
      <w:r w:rsidR="0088547B" w:rsidRPr="0088547B">
        <w:rPr>
          <w:b/>
        </w:rPr>
        <w:t xml:space="preserve"> </w:t>
      </w:r>
      <w:r w:rsidR="000E491C" w:rsidRPr="0088547B">
        <w:rPr>
          <w:b/>
        </w:rPr>
        <w:t>h</w:t>
      </w:r>
      <w:r w:rsidR="0088547B" w:rsidRPr="0088547B">
        <w:rPr>
          <w:b/>
        </w:rPr>
        <w:t>eures</w:t>
      </w:r>
      <w:r w:rsidR="000E491C" w:rsidRPr="0088547B">
        <w:rPr>
          <w:b/>
        </w:rPr>
        <w:t xml:space="preserve"> de temps de service</w:t>
      </w:r>
      <w:r w:rsidR="000E491C">
        <w:t xml:space="preserve"> pour certain</w:t>
      </w:r>
      <w:r w:rsidR="003A4D96">
        <w:t>s</w:t>
      </w:r>
      <w:r w:rsidR="0088547B">
        <w:t xml:space="preserve"> </w:t>
      </w:r>
      <w:r w:rsidR="000E491C">
        <w:t>agent</w:t>
      </w:r>
      <w:r w:rsidR="0088547B">
        <w:t>s dont les droits à formation sont renforcés</w:t>
      </w:r>
      <w:r>
        <w:t>.</w:t>
      </w:r>
      <w:r w:rsidRPr="005841F3">
        <w:t xml:space="preserve"> </w:t>
      </w:r>
    </w:p>
    <w:p w14:paraId="2AA3B66C" w14:textId="01276BA6" w:rsidR="000E5029" w:rsidRPr="00ED7317" w:rsidRDefault="000E5029" w:rsidP="000E5029">
      <w:pPr>
        <w:spacing w:before="120" w:after="0"/>
        <w:jc w:val="both"/>
      </w:pPr>
      <w:r w:rsidRPr="00ED7317">
        <w:t>Si l’agent a besoin de plus de temps de préparation, il peut mobiliser en complément son compte personnel de formation (CPF)</w:t>
      </w:r>
      <w:r w:rsidR="0088547B">
        <w:rPr>
          <w:rStyle w:val="Appelnotedebasdep"/>
        </w:rPr>
        <w:footnoteReference w:id="5"/>
      </w:r>
      <w:r w:rsidRPr="00ED7317">
        <w:t xml:space="preserve">. La VAE doit </w:t>
      </w:r>
      <w:r w:rsidR="003A4D96">
        <w:t>dans ce cas</w:t>
      </w:r>
      <w:r w:rsidRPr="00ED7317">
        <w:t xml:space="preserve"> être au service d’un projet d’évolution professionnelle. </w:t>
      </w:r>
    </w:p>
    <w:p w14:paraId="4CDD3064" w14:textId="59EEBFB3" w:rsidR="00B952AC" w:rsidRPr="00B952AC" w:rsidRDefault="00B952AC" w:rsidP="00ED7317">
      <w:pPr>
        <w:pStyle w:val="Paragraphedeliste"/>
        <w:numPr>
          <w:ilvl w:val="0"/>
          <w:numId w:val="4"/>
        </w:numPr>
        <w:spacing w:before="240" w:after="0"/>
        <w:ind w:left="714" w:hanging="357"/>
        <w:contextualSpacing w:val="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O</w:t>
      </w:r>
      <w:r w:rsidRPr="00B952AC">
        <w:rPr>
          <w:b/>
          <w:color w:val="538135" w:themeColor="accent6" w:themeShade="BF"/>
          <w:sz w:val="24"/>
          <w:szCs w:val="24"/>
        </w:rPr>
        <w:t>btenir le financement d’action</w:t>
      </w:r>
      <w:r w:rsidR="00ED7317">
        <w:rPr>
          <w:b/>
          <w:color w:val="538135" w:themeColor="accent6" w:themeShade="BF"/>
          <w:sz w:val="24"/>
          <w:szCs w:val="24"/>
        </w:rPr>
        <w:t>s</w:t>
      </w:r>
      <w:r w:rsidRPr="00B952AC">
        <w:rPr>
          <w:b/>
          <w:color w:val="538135" w:themeColor="accent6" w:themeShade="BF"/>
          <w:sz w:val="24"/>
          <w:szCs w:val="24"/>
        </w:rPr>
        <w:t xml:space="preserve"> de formation de préparation à la VAE</w:t>
      </w:r>
    </w:p>
    <w:p w14:paraId="5A53C637" w14:textId="668FB96C" w:rsidR="003F56CE" w:rsidRDefault="00B51790" w:rsidP="00023961">
      <w:pPr>
        <w:spacing w:before="120" w:after="0"/>
        <w:jc w:val="both"/>
      </w:pPr>
      <w:r>
        <w:t>Les actions de</w:t>
      </w:r>
      <w:r w:rsidR="008A6D3F">
        <w:t xml:space="preserve"> formation en vue d’une</w:t>
      </w:r>
      <w:r>
        <w:t xml:space="preserve"> VAE peuvent être financ</w:t>
      </w:r>
      <w:r w:rsidR="00867343">
        <w:t>ée</w:t>
      </w:r>
      <w:r>
        <w:t>s par l’administration</w:t>
      </w:r>
      <w:r w:rsidR="008A6D3F">
        <w:t xml:space="preserve"> dans le cadre du CPF</w:t>
      </w:r>
      <w:r w:rsidR="00B952AC">
        <w:t xml:space="preserve">. </w:t>
      </w:r>
      <w:r w:rsidR="003A4D96">
        <w:t xml:space="preserve"> Dans ce cas, la VAE doit être au service d’un projet d’évolution professionnel</w:t>
      </w:r>
      <w:r w:rsidR="00444C64">
        <w:t>le</w:t>
      </w:r>
      <w:r w:rsidR="003A4D96">
        <w:t xml:space="preserve">. </w:t>
      </w:r>
    </w:p>
    <w:p w14:paraId="4A4D5FAC" w14:textId="34BB006B" w:rsidR="003F56CE" w:rsidRPr="003F56CE" w:rsidRDefault="003F56CE" w:rsidP="003F56C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before="360" w:after="180"/>
        <w:jc w:val="both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Pour aller plus loin</w:t>
      </w:r>
      <w:r w:rsidR="00794F7D">
        <w:rPr>
          <w:b/>
          <w:color w:val="538135" w:themeColor="accent6" w:themeShade="BF"/>
          <w:sz w:val="24"/>
          <w:szCs w:val="24"/>
        </w:rPr>
        <w:t>…</w:t>
      </w:r>
    </w:p>
    <w:p w14:paraId="155C164A" w14:textId="050BCC4F" w:rsidR="003F56CE" w:rsidRDefault="003F56CE" w:rsidP="003F56CE">
      <w:pPr>
        <w:pStyle w:val="Paragraphedeliste"/>
        <w:numPr>
          <w:ilvl w:val="0"/>
          <w:numId w:val="1"/>
        </w:numPr>
        <w:spacing w:before="120" w:after="0"/>
        <w:contextualSpacing w:val="0"/>
        <w:jc w:val="both"/>
      </w:pPr>
      <w:r>
        <w:t>Article</w:t>
      </w:r>
      <w:r w:rsidR="0080093A">
        <w:t>s</w:t>
      </w:r>
      <w:r>
        <w:t xml:space="preserve"> </w:t>
      </w:r>
      <w:r w:rsidR="00BC191C">
        <w:t>L. 422-1</w:t>
      </w:r>
      <w:r w:rsidR="0080093A">
        <w:t>, L. 422-3</w:t>
      </w:r>
      <w:r w:rsidR="00BC191C">
        <w:t xml:space="preserve"> </w:t>
      </w:r>
      <w:r w:rsidR="0080093A">
        <w:t xml:space="preserve">et L. 422-10 </w:t>
      </w:r>
      <w:r w:rsidR="00BC191C">
        <w:t>du code général de la fonction publique</w:t>
      </w:r>
      <w:r>
        <w:t> ;</w:t>
      </w:r>
    </w:p>
    <w:p w14:paraId="27519711" w14:textId="743954B4" w:rsidR="003F56CE" w:rsidRDefault="003F56CE" w:rsidP="003F56CE">
      <w:pPr>
        <w:pStyle w:val="Paragraphedeliste"/>
        <w:numPr>
          <w:ilvl w:val="0"/>
          <w:numId w:val="1"/>
        </w:numPr>
        <w:spacing w:before="120" w:after="0"/>
        <w:contextualSpacing w:val="0"/>
        <w:jc w:val="both"/>
      </w:pPr>
      <w:r>
        <w:t>Article 23 du décret n°2007-1470 du 15 octobre 2007 modifié relatif à la formation professionnelle tout au long de la vie des fonctionnaires de l’</w:t>
      </w:r>
      <w:r w:rsidR="003A4D96">
        <w:rPr>
          <w:rFonts w:ascii="Segoe UI Symbol" w:hAnsi="Segoe UI Symbol"/>
        </w:rPr>
        <w:t>É</w:t>
      </w:r>
      <w:r>
        <w:t>tat ;</w:t>
      </w:r>
    </w:p>
    <w:p w14:paraId="001D40F2" w14:textId="263052C8" w:rsidR="003F56CE" w:rsidRDefault="003F56CE" w:rsidP="003F56CE">
      <w:pPr>
        <w:pStyle w:val="Paragraphedeliste"/>
        <w:numPr>
          <w:ilvl w:val="0"/>
          <w:numId w:val="1"/>
        </w:numPr>
        <w:spacing w:before="120" w:after="0"/>
        <w:contextualSpacing w:val="0"/>
        <w:jc w:val="both"/>
      </w:pPr>
      <w:r>
        <w:t>Article 8 du décret n°2007-1942 du 26 décembre 2007 relatif à la formation professionnelle des agents non titulaires de l’</w:t>
      </w:r>
      <w:r w:rsidR="003A4D96">
        <w:t>É</w:t>
      </w:r>
      <w:r>
        <w:t>tat […] ;</w:t>
      </w:r>
    </w:p>
    <w:p w14:paraId="7D512840" w14:textId="77777777" w:rsidR="003F56CE" w:rsidRDefault="003F56CE" w:rsidP="003F56CE">
      <w:pPr>
        <w:pStyle w:val="Paragraphedeliste"/>
        <w:numPr>
          <w:ilvl w:val="0"/>
          <w:numId w:val="1"/>
        </w:numPr>
        <w:spacing w:before="120" w:after="0"/>
        <w:contextualSpacing w:val="0"/>
        <w:jc w:val="both"/>
      </w:pPr>
      <w:r w:rsidRPr="00FD6B73">
        <w:t>Article 8</w:t>
      </w:r>
      <w:r>
        <w:t>,</w:t>
      </w:r>
      <w:r w:rsidRPr="00FD6B73">
        <w:t xml:space="preserve"> </w:t>
      </w:r>
      <w:r>
        <w:t>2</w:t>
      </w:r>
      <w:r w:rsidRPr="00FD6B73">
        <w:t>° du décret n°2017-928 du 6 mai 2017 modifié relatif à la mise en œuvre du compte personnel d’activité dans la fonction publique et à la formation professionnelle tout au long de la vie ;</w:t>
      </w:r>
    </w:p>
    <w:p w14:paraId="26516961" w14:textId="78DE1F1C" w:rsidR="003A4D96" w:rsidRDefault="003F56CE" w:rsidP="003A4D96">
      <w:pPr>
        <w:pStyle w:val="Paragraphedeliste"/>
        <w:numPr>
          <w:ilvl w:val="0"/>
          <w:numId w:val="1"/>
        </w:numPr>
        <w:spacing w:before="120" w:after="0"/>
        <w:contextualSpacing w:val="0"/>
        <w:jc w:val="both"/>
      </w:pPr>
      <w:r w:rsidRPr="00FD6B73">
        <w:t>Article 1</w:t>
      </w:r>
      <w:r>
        <w:t>,</w:t>
      </w:r>
      <w:r w:rsidRPr="00FD6B73">
        <w:t xml:space="preserve"> </w:t>
      </w:r>
      <w:r>
        <w:t>7</w:t>
      </w:r>
      <w:r w:rsidRPr="00FD6B73">
        <w:t>° de l’arrêté du 29 décembre 2016 portant déconcentration des actes relatifs à la situation individuelle des agents publics exerçant leurs fonctions dans les services déconcentrés des administra</w:t>
      </w:r>
      <w:r w:rsidR="003A4D96">
        <w:t>tions civiles de l'É</w:t>
      </w:r>
      <w:r>
        <w:t>tat […].</w:t>
      </w:r>
    </w:p>
    <w:p w14:paraId="7C5C6CAE" w14:textId="5CCDD040" w:rsidR="003A4D96" w:rsidRDefault="003A4D96" w:rsidP="003A4D96">
      <w:pPr>
        <w:spacing w:before="120" w:after="0"/>
        <w:jc w:val="both"/>
      </w:pPr>
    </w:p>
    <w:p w14:paraId="5EBB0549" w14:textId="47C699C9" w:rsidR="003A4D96" w:rsidRDefault="003A4D96" w:rsidP="003A4D96">
      <w:pPr>
        <w:spacing w:before="120" w:after="0"/>
        <w:jc w:val="both"/>
      </w:pPr>
    </w:p>
    <w:p w14:paraId="29068CD0" w14:textId="793D7E45" w:rsidR="003A4D96" w:rsidRDefault="00444C64" w:rsidP="003A4D96">
      <w:pPr>
        <w:spacing w:before="120" w:after="0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1BFF" wp14:editId="04A1B23D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743575" cy="457200"/>
                <wp:effectExtent l="0" t="0" r="2857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57200"/>
                        </a:xfrm>
                        <a:prstGeom prst="wedgeRectCallou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D0AF6" w14:textId="44577B9C" w:rsidR="00444C64" w:rsidRDefault="00471942" w:rsidP="00444C64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EXEMPLE</w:t>
                            </w:r>
                            <w:r w:rsidR="00444C64"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DE MOBILISATION DE LA VAE PAR...</w:t>
                            </w:r>
                          </w:p>
                          <w:p w14:paraId="6F2A62F2" w14:textId="77777777" w:rsidR="00444C64" w:rsidRPr="0094359B" w:rsidRDefault="00444C64" w:rsidP="00444C64">
                            <w:pPr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21BF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4" o:spid="_x0000_s1026" type="#_x0000_t61" style="position:absolute;left:0;text-align:left;margin-left:0;margin-top:-.35pt;width:452.2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" adj="6300,24300" fillcolor="white [3212]" strokecolor="#538135 [2409]" strokeweight="1.5pt">
                <v:textbox>
                  <w:txbxContent>
                    <w:p w14:paraId="62CD0AF6" w14:textId="44577B9C" w:rsidR="00444C64" w:rsidRDefault="00471942" w:rsidP="00444C64">
                      <w:pP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>EXEMPLE</w:t>
                      </w:r>
                      <w:r w:rsidR="00444C64"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 DE MOBILISATION DE LA VAE PAR...</w:t>
                      </w:r>
                    </w:p>
                    <w:p w14:paraId="6F2A62F2" w14:textId="77777777" w:rsidR="00444C64" w:rsidRPr="0094359B" w:rsidRDefault="00444C64" w:rsidP="00444C64">
                      <w:pPr>
                        <w:rPr>
                          <w:b/>
                          <w:color w:val="538135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F9023" w14:textId="77777777" w:rsidR="003A4D96" w:rsidRDefault="003A4D96" w:rsidP="003A4D96">
      <w:pPr>
        <w:spacing w:before="120" w:after="0"/>
        <w:jc w:val="both"/>
      </w:pPr>
    </w:p>
    <w:p w14:paraId="5D14B525" w14:textId="77777777" w:rsidR="00413244" w:rsidRDefault="00444C64" w:rsidP="00444C64">
      <w:pPr>
        <w:spacing w:before="360" w:after="180"/>
        <w:jc w:val="both"/>
        <w:rPr>
          <w:sz w:val="24"/>
          <w:szCs w:val="24"/>
        </w:rPr>
      </w:pPr>
      <w:r w:rsidRPr="00444C64">
        <w:rPr>
          <w:sz w:val="24"/>
          <w:szCs w:val="24"/>
        </w:rPr>
        <w:t>Un technicien de formation et de recherche</w:t>
      </w:r>
      <w:r w:rsidR="003A4D96" w:rsidRPr="00444C64">
        <w:rPr>
          <w:sz w:val="24"/>
          <w:szCs w:val="24"/>
        </w:rPr>
        <w:t xml:space="preserve"> Vie Scolaire </w:t>
      </w:r>
      <w:r w:rsidRPr="00444C64">
        <w:rPr>
          <w:sz w:val="24"/>
          <w:szCs w:val="24"/>
        </w:rPr>
        <w:t>(</w:t>
      </w:r>
      <w:r w:rsidRPr="00444C64">
        <w:rPr>
          <w:i/>
          <w:iCs/>
          <w:sz w:val="24"/>
          <w:szCs w:val="24"/>
        </w:rPr>
        <w:t>TFR</w:t>
      </w:r>
      <w:r w:rsidRPr="00444C64">
        <w:rPr>
          <w:sz w:val="24"/>
          <w:szCs w:val="24"/>
        </w:rPr>
        <w:t xml:space="preserve">-VS) </w:t>
      </w:r>
      <w:r w:rsidR="003A4D96" w:rsidRPr="00444C64">
        <w:rPr>
          <w:sz w:val="24"/>
          <w:szCs w:val="24"/>
        </w:rPr>
        <w:t>dans un EPLEFPA</w:t>
      </w:r>
      <w:r w:rsidRPr="00444C64">
        <w:rPr>
          <w:sz w:val="24"/>
          <w:szCs w:val="24"/>
        </w:rPr>
        <w:t xml:space="preserve"> souhaite </w:t>
      </w:r>
      <w:r w:rsidR="003A4D96" w:rsidRPr="00444C64">
        <w:rPr>
          <w:sz w:val="24"/>
          <w:szCs w:val="24"/>
        </w:rPr>
        <w:t xml:space="preserve">passer le concours de </w:t>
      </w:r>
      <w:r w:rsidRPr="00444C64">
        <w:rPr>
          <w:sz w:val="24"/>
          <w:szCs w:val="24"/>
        </w:rPr>
        <w:t>conseiller principal d’éducation (</w:t>
      </w:r>
      <w:r w:rsidR="003A4D96" w:rsidRPr="00444C64">
        <w:rPr>
          <w:sz w:val="24"/>
          <w:szCs w:val="24"/>
        </w:rPr>
        <w:t>CPE</w:t>
      </w:r>
      <w:r w:rsidRPr="00444C64">
        <w:rPr>
          <w:sz w:val="24"/>
          <w:szCs w:val="24"/>
        </w:rPr>
        <w:t>)</w:t>
      </w:r>
      <w:r w:rsidR="003A4D96" w:rsidRPr="00444C64">
        <w:rPr>
          <w:sz w:val="24"/>
          <w:szCs w:val="24"/>
        </w:rPr>
        <w:t xml:space="preserve"> mais</w:t>
      </w:r>
      <w:r w:rsidR="00413244">
        <w:rPr>
          <w:sz w:val="24"/>
          <w:szCs w:val="24"/>
        </w:rPr>
        <w:t xml:space="preserve"> il sait qu’il</w:t>
      </w:r>
      <w:r w:rsidR="003A4D96" w:rsidRPr="00444C64">
        <w:rPr>
          <w:sz w:val="24"/>
          <w:szCs w:val="24"/>
        </w:rPr>
        <w:t xml:space="preserve"> n'a pas le niveau de diplôme requis. </w:t>
      </w:r>
    </w:p>
    <w:p w14:paraId="0DEDAD3A" w14:textId="7DBF723A" w:rsidR="00413244" w:rsidRPr="00444C64" w:rsidRDefault="00413244" w:rsidP="00444C64">
      <w:pPr>
        <w:spacing w:before="360"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la lecture de la fiche de présentation du Master </w:t>
      </w:r>
      <w:r w:rsidRPr="00444C64">
        <w:rPr>
          <w:sz w:val="24"/>
          <w:szCs w:val="24"/>
        </w:rPr>
        <w:t>"</w:t>
      </w:r>
      <w:r w:rsidRPr="00413244">
        <w:rPr>
          <w:i/>
          <w:sz w:val="24"/>
          <w:szCs w:val="24"/>
        </w:rPr>
        <w:t>Sciences de l'Education</w:t>
      </w:r>
      <w:r w:rsidRPr="00444C64">
        <w:rPr>
          <w:sz w:val="24"/>
          <w:szCs w:val="24"/>
        </w:rPr>
        <w:t>"</w:t>
      </w:r>
      <w:r>
        <w:rPr>
          <w:sz w:val="24"/>
          <w:szCs w:val="24"/>
        </w:rPr>
        <w:t xml:space="preserve"> qu’il a repéré dans le RNCP</w:t>
      </w:r>
      <w:r w:rsidR="008E0063">
        <w:rPr>
          <w:rStyle w:val="Appelnotedebasdep"/>
          <w:sz w:val="24"/>
          <w:szCs w:val="24"/>
        </w:rPr>
        <w:footnoteReference w:id="6"/>
      </w:r>
      <w:r>
        <w:rPr>
          <w:sz w:val="24"/>
          <w:szCs w:val="24"/>
        </w:rPr>
        <w:t xml:space="preserve">, il pense pouvoir valoriser les compétences acquises en tant que TFR-VS pour valider ce diplôme. Il dépose sa demande de VAE auprès de l’organisme certificateur et obtient une réponse favorable pour entamer sa validation des acquis de l’expérience. Il demande alors à son responsable local de formation de pouvoir </w:t>
      </w:r>
      <w:r w:rsidR="000B5C33">
        <w:rPr>
          <w:sz w:val="24"/>
          <w:szCs w:val="24"/>
        </w:rPr>
        <w:t xml:space="preserve">bénéficier </w:t>
      </w:r>
      <w:r>
        <w:rPr>
          <w:sz w:val="24"/>
          <w:szCs w:val="24"/>
        </w:rPr>
        <w:t xml:space="preserve">d’une formation à la préparation de sa VAE et </w:t>
      </w:r>
      <w:r w:rsidR="000B5C33">
        <w:rPr>
          <w:sz w:val="24"/>
          <w:szCs w:val="24"/>
        </w:rPr>
        <w:t>de son</w:t>
      </w:r>
      <w:r>
        <w:rPr>
          <w:sz w:val="24"/>
          <w:szCs w:val="24"/>
        </w:rPr>
        <w:t xml:space="preserve"> congé.</w:t>
      </w:r>
    </w:p>
    <w:p w14:paraId="2DD7C92C" w14:textId="77777777" w:rsidR="003F56CE" w:rsidRDefault="003F56CE" w:rsidP="001158EF">
      <w:pPr>
        <w:spacing w:before="120" w:after="0"/>
      </w:pPr>
    </w:p>
    <w:sectPr w:rsidR="003F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79DC9" w14:textId="77777777" w:rsidR="00EB7F24" w:rsidRDefault="00EB7F24" w:rsidP="00EB7F24">
      <w:pPr>
        <w:spacing w:after="0" w:line="240" w:lineRule="auto"/>
      </w:pPr>
      <w:r>
        <w:separator/>
      </w:r>
    </w:p>
  </w:endnote>
  <w:endnote w:type="continuationSeparator" w:id="0">
    <w:p w14:paraId="7007A99D" w14:textId="77777777" w:rsidR="00EB7F24" w:rsidRDefault="00EB7F24" w:rsidP="00EB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4AD7" w14:textId="77777777" w:rsidR="000218DE" w:rsidRDefault="000218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0564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7A8F688" w14:textId="40554EFA" w:rsidR="00444C64" w:rsidRDefault="00444C64" w:rsidP="00444C6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9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9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B910AC" w14:textId="77777777" w:rsidR="00444C64" w:rsidRDefault="00444C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7CF58" w14:textId="77777777" w:rsidR="000218DE" w:rsidRDefault="000218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A5BA" w14:textId="77777777" w:rsidR="00EB7F24" w:rsidRDefault="00EB7F24" w:rsidP="00EB7F24">
      <w:pPr>
        <w:spacing w:after="0" w:line="240" w:lineRule="auto"/>
      </w:pPr>
      <w:r>
        <w:separator/>
      </w:r>
    </w:p>
  </w:footnote>
  <w:footnote w:type="continuationSeparator" w:id="0">
    <w:p w14:paraId="4563DBA2" w14:textId="77777777" w:rsidR="00EB7F24" w:rsidRDefault="00EB7F24" w:rsidP="00EB7F24">
      <w:pPr>
        <w:spacing w:after="0" w:line="240" w:lineRule="auto"/>
      </w:pPr>
      <w:r>
        <w:continuationSeparator/>
      </w:r>
    </w:p>
  </w:footnote>
  <w:footnote w:id="1">
    <w:p w14:paraId="6A397489" w14:textId="7E132754" w:rsidR="00AB4EBA" w:rsidRDefault="00AB4EB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72694F">
          <w:rPr>
            <w:rStyle w:val="Lienhypertexte"/>
          </w:rPr>
          <w:t>https://www.vae.gouv.fr/</w:t>
        </w:r>
      </w:hyperlink>
      <w:r>
        <w:t xml:space="preserve"> </w:t>
      </w:r>
    </w:p>
  </w:footnote>
  <w:footnote w:id="2">
    <w:p w14:paraId="62B0A731" w14:textId="61B469BE" w:rsidR="0088547B" w:rsidRDefault="0088547B" w:rsidP="0088547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La durée du congé pour validation des acquis de l’expérience peut être supérieure : cf. droits complémentaires pour les agents dont les droits à formation sont renforcés.</w:t>
      </w:r>
    </w:p>
  </w:footnote>
  <w:footnote w:id="3">
    <w:p w14:paraId="5E57C5D1" w14:textId="666624D2" w:rsidR="00444C64" w:rsidRDefault="00444C64">
      <w:pPr>
        <w:pStyle w:val="Notedebasdepage"/>
      </w:pPr>
      <w:r>
        <w:rPr>
          <w:rStyle w:val="Appelnotedebasdep"/>
        </w:rPr>
        <w:footnoteRef/>
      </w:r>
      <w:r>
        <w:t xml:space="preserve"> Fiche N°8 – Compte personnel de formation</w:t>
      </w:r>
    </w:p>
  </w:footnote>
  <w:footnote w:id="4">
    <w:p w14:paraId="7F6AB065" w14:textId="727F12C8" w:rsidR="00EB7F24" w:rsidRDefault="00EB7F24" w:rsidP="00EB7F24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r w:rsidR="000E491C">
        <w:t>gents mentionnés à l’a</w:t>
      </w:r>
      <w:r>
        <w:t>rticle L422-3 du code général de la fonction publique</w:t>
      </w:r>
    </w:p>
  </w:footnote>
  <w:footnote w:id="5">
    <w:p w14:paraId="7D63F1D2" w14:textId="1EE74A8A" w:rsidR="0088547B" w:rsidRDefault="0088547B">
      <w:pPr>
        <w:pStyle w:val="Notedebasdepage"/>
      </w:pPr>
      <w:r>
        <w:rPr>
          <w:rStyle w:val="Appelnotedebasdep"/>
        </w:rPr>
        <w:footnoteRef/>
      </w:r>
      <w:r>
        <w:t xml:space="preserve"> Fiche 8 Compte personnel de formation</w:t>
      </w:r>
    </w:p>
  </w:footnote>
  <w:footnote w:id="6">
    <w:p w14:paraId="348E0638" w14:textId="79F9D0F8" w:rsidR="008E0063" w:rsidRDefault="008E00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E0063">
        <w:rPr>
          <w:rStyle w:val="Accentuation"/>
          <w:i w:val="0"/>
        </w:rPr>
        <w:t>Répertoire national des certifications professionnelles</w:t>
      </w:r>
      <w:r>
        <w:rPr>
          <w:rStyle w:val="Accentuation"/>
          <w:i w:val="0"/>
        </w:rPr>
        <w:t xml:space="preserve"> – consultable sur </w:t>
      </w:r>
      <w:hyperlink r:id="rId2" w:history="1">
        <w:r w:rsidRPr="008E0063">
          <w:rPr>
            <w:rStyle w:val="Lienhypertexte"/>
          </w:rPr>
          <w:t>https://www.francecompetences.fr/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35CC2" w14:textId="2415DBFC" w:rsidR="000218DE" w:rsidRDefault="000218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8CBD1" w14:textId="75A50D5D" w:rsidR="000218DE" w:rsidRDefault="000218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725E" w14:textId="6905F1B0" w:rsidR="000218DE" w:rsidRDefault="000218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F06"/>
    <w:multiLevelType w:val="hybridMultilevel"/>
    <w:tmpl w:val="163EAF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430F"/>
    <w:multiLevelType w:val="hybridMultilevel"/>
    <w:tmpl w:val="A42CD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D3EE4"/>
    <w:multiLevelType w:val="hybridMultilevel"/>
    <w:tmpl w:val="F9B8B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40255"/>
    <w:multiLevelType w:val="hybridMultilevel"/>
    <w:tmpl w:val="086091CC"/>
    <w:lvl w:ilvl="0" w:tplc="F68E3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1E"/>
    <w:rsid w:val="000168B3"/>
    <w:rsid w:val="000218DE"/>
    <w:rsid w:val="00023961"/>
    <w:rsid w:val="000A591E"/>
    <w:rsid w:val="000B5C33"/>
    <w:rsid w:val="000D5DB6"/>
    <w:rsid w:val="000E491C"/>
    <w:rsid w:val="000E5029"/>
    <w:rsid w:val="000F4C7E"/>
    <w:rsid w:val="001158EF"/>
    <w:rsid w:val="0013103D"/>
    <w:rsid w:val="00245280"/>
    <w:rsid w:val="002E2695"/>
    <w:rsid w:val="003921DD"/>
    <w:rsid w:val="003A4D96"/>
    <w:rsid w:val="003C56E3"/>
    <w:rsid w:val="003C795F"/>
    <w:rsid w:val="003F56CE"/>
    <w:rsid w:val="003F6F99"/>
    <w:rsid w:val="00413244"/>
    <w:rsid w:val="004253DC"/>
    <w:rsid w:val="00444C64"/>
    <w:rsid w:val="00471942"/>
    <w:rsid w:val="004A36F9"/>
    <w:rsid w:val="004A5A9E"/>
    <w:rsid w:val="0056396F"/>
    <w:rsid w:val="005841F3"/>
    <w:rsid w:val="005B21A9"/>
    <w:rsid w:val="00730DD9"/>
    <w:rsid w:val="0076786E"/>
    <w:rsid w:val="00773DE9"/>
    <w:rsid w:val="00784EC2"/>
    <w:rsid w:val="00794F7D"/>
    <w:rsid w:val="007D347E"/>
    <w:rsid w:val="007E6718"/>
    <w:rsid w:val="0080093A"/>
    <w:rsid w:val="00805980"/>
    <w:rsid w:val="00842F8B"/>
    <w:rsid w:val="008628EB"/>
    <w:rsid w:val="00867343"/>
    <w:rsid w:val="0087769C"/>
    <w:rsid w:val="0088547B"/>
    <w:rsid w:val="008A6D3F"/>
    <w:rsid w:val="008B1611"/>
    <w:rsid w:val="008E0063"/>
    <w:rsid w:val="009020E0"/>
    <w:rsid w:val="0091464F"/>
    <w:rsid w:val="009341C2"/>
    <w:rsid w:val="009E6FB0"/>
    <w:rsid w:val="00A044DE"/>
    <w:rsid w:val="00AA6FAA"/>
    <w:rsid w:val="00AB4EBA"/>
    <w:rsid w:val="00AD314B"/>
    <w:rsid w:val="00B51790"/>
    <w:rsid w:val="00B952AC"/>
    <w:rsid w:val="00BA1CEE"/>
    <w:rsid w:val="00BC191C"/>
    <w:rsid w:val="00BE4314"/>
    <w:rsid w:val="00C55007"/>
    <w:rsid w:val="00CB1734"/>
    <w:rsid w:val="00CD3634"/>
    <w:rsid w:val="00D46AC5"/>
    <w:rsid w:val="00D73CD5"/>
    <w:rsid w:val="00E4239A"/>
    <w:rsid w:val="00E72B53"/>
    <w:rsid w:val="00EB7F24"/>
    <w:rsid w:val="00ED7317"/>
    <w:rsid w:val="00F24666"/>
    <w:rsid w:val="00F40804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17AF35"/>
  <w15:chartTrackingRefBased/>
  <w15:docId w15:val="{3B8E529C-4332-4A60-B356-CB0E4673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91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673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3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3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3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3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3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F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7F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7F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7F2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B4EBA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444C6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4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C64"/>
  </w:style>
  <w:style w:type="paragraph" w:styleId="Pieddepage">
    <w:name w:val="footer"/>
    <w:basedOn w:val="Normal"/>
    <w:link w:val="PieddepageCar"/>
    <w:uiPriority w:val="99"/>
    <w:unhideWhenUsed/>
    <w:rsid w:val="0044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rancecompetences.fr/" TargetMode="External"/><Relationship Id="rId1" Type="http://schemas.openxmlformats.org/officeDocument/2006/relationships/hyperlink" Target="https://www.vae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93B3-D61B-411D-AB9D-8F55D218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LASNE</dc:creator>
  <cp:keywords/>
  <dc:description/>
  <cp:lastModifiedBy>Delphine LASNE</cp:lastModifiedBy>
  <cp:revision>2</cp:revision>
  <dcterms:created xsi:type="dcterms:W3CDTF">2022-11-09T13:06:00Z</dcterms:created>
  <dcterms:modified xsi:type="dcterms:W3CDTF">2022-11-09T13:06:00Z</dcterms:modified>
</cp:coreProperties>
</file>