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91D0" w14:textId="0CDE4C2C" w:rsidR="00B2553B" w:rsidRPr="003A4D35" w:rsidRDefault="00B2553B" w:rsidP="003A4D35">
      <w:pPr>
        <w:spacing w:before="120" w:after="240"/>
        <w:jc w:val="right"/>
        <w:rPr>
          <w:b/>
          <w:color w:val="538135" w:themeColor="accent6" w:themeShade="BF"/>
          <w:sz w:val="28"/>
          <w:szCs w:val="28"/>
        </w:rPr>
      </w:pPr>
      <w:r w:rsidRPr="003A4D35">
        <w:rPr>
          <w:b/>
          <w:color w:val="538135" w:themeColor="accent6" w:themeShade="BF"/>
          <w:sz w:val="28"/>
          <w:szCs w:val="28"/>
        </w:rPr>
        <w:t>Fiche n°</w:t>
      </w:r>
      <w:r w:rsidR="0002518E" w:rsidRPr="003A4D35">
        <w:rPr>
          <w:b/>
          <w:color w:val="538135" w:themeColor="accent6" w:themeShade="BF"/>
          <w:sz w:val="28"/>
          <w:szCs w:val="28"/>
        </w:rPr>
        <w:t>4</w:t>
      </w:r>
    </w:p>
    <w:tbl>
      <w:tblPr>
        <w:tblStyle w:val="Grilledutableau"/>
        <w:tblW w:w="0" w:type="auto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A4D35" w14:paraId="70B51327" w14:textId="77777777" w:rsidTr="003D589E">
        <w:tc>
          <w:tcPr>
            <w:tcW w:w="8982" w:type="dxa"/>
          </w:tcPr>
          <w:p w14:paraId="1E71040C" w14:textId="372902F4" w:rsidR="003A4D35" w:rsidRDefault="007826DD" w:rsidP="007826DD">
            <w:pPr>
              <w:spacing w:before="240" w:after="240"/>
              <w:jc w:val="center"/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Le bilan de compétences</w:t>
            </w:r>
          </w:p>
        </w:tc>
      </w:tr>
    </w:tbl>
    <w:p w14:paraId="4A02B54F" w14:textId="77777777" w:rsidR="00B2553B" w:rsidRDefault="00B2553B" w:rsidP="007771E7">
      <w:pPr>
        <w:spacing w:before="120" w:after="0"/>
        <w:jc w:val="both"/>
      </w:pPr>
    </w:p>
    <w:p w14:paraId="02323C65" w14:textId="68084F80" w:rsidR="0002518E" w:rsidRDefault="006E3CA0" w:rsidP="007771E7">
      <w:pPr>
        <w:spacing w:before="120" w:after="0"/>
        <w:jc w:val="both"/>
      </w:pPr>
      <w:r>
        <w:t>Face à l’évolution de la société, les carrières ne sont plus lin</w:t>
      </w:r>
      <w:r w:rsidR="00B51687">
        <w:t>é</w:t>
      </w:r>
      <w:r>
        <w:t>aires</w:t>
      </w:r>
      <w:r w:rsidR="00DC3260">
        <w:t xml:space="preserve"> et</w:t>
      </w:r>
      <w:r>
        <w:t xml:space="preserve"> peuvent prendre </w:t>
      </w:r>
      <w:r w:rsidR="00DC3260">
        <w:t xml:space="preserve">ainsi plusieurs directions dans le secteur public </w:t>
      </w:r>
      <w:r w:rsidR="00392450">
        <w:t>ou s’orienter vers le secteur</w:t>
      </w:r>
      <w:r w:rsidR="00DC3260">
        <w:t xml:space="preserve"> privé</w:t>
      </w:r>
      <w:r>
        <w:t>. T</w:t>
      </w:r>
      <w:r w:rsidR="00F036C1">
        <w:t>out agent peut se questionner sur les orientations professionnelles prises et peut avoir envie de changer de domaine de compétence</w:t>
      </w:r>
      <w:r>
        <w:t>s</w:t>
      </w:r>
      <w:r w:rsidR="00602845">
        <w:t xml:space="preserve"> ou</w:t>
      </w:r>
      <w:r w:rsidR="00F036C1">
        <w:t xml:space="preserve"> de métier</w:t>
      </w:r>
      <w:r>
        <w:t>,</w:t>
      </w:r>
      <w:r w:rsidR="00F036C1">
        <w:t xml:space="preserve"> voir</w:t>
      </w:r>
      <w:r w:rsidR="0002518E">
        <w:t>e</w:t>
      </w:r>
      <w:r w:rsidR="00F036C1">
        <w:t xml:space="preserve"> </w:t>
      </w:r>
      <w:r w:rsidR="00B524F0">
        <w:t xml:space="preserve">de </w:t>
      </w:r>
      <w:r w:rsidR="00F036C1">
        <w:t>quitter la fonction publique</w:t>
      </w:r>
      <w:r w:rsidR="0002518E">
        <w:rPr>
          <w:rStyle w:val="Appelnotedebasdep"/>
        </w:rPr>
        <w:footnoteReference w:id="1"/>
      </w:r>
      <w:r w:rsidR="00F036C1">
        <w:t xml:space="preserve">. </w:t>
      </w:r>
    </w:p>
    <w:p w14:paraId="5026C598" w14:textId="14463188" w:rsidR="0002518E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Qu’est-ce qu’un bilan de compétences ? </w:t>
      </w:r>
    </w:p>
    <w:p w14:paraId="1F59555A" w14:textId="21DECDD9" w:rsidR="0002518E" w:rsidRDefault="003A4D35" w:rsidP="0002518E">
      <w:pPr>
        <w:spacing w:before="120" w:after="0"/>
        <w:jc w:val="both"/>
      </w:pPr>
      <w:r>
        <w:t>L</w:t>
      </w:r>
      <w:r w:rsidR="0002518E">
        <w:t>e bilan de compétences est un outil qui permet à l’agent de s’interroger sur les compétences qu’il a acquises tout au long de son parcours professionnel</w:t>
      </w:r>
      <w:r w:rsidR="00B51687">
        <w:t>,</w:t>
      </w:r>
      <w:r w:rsidR="0002518E">
        <w:t xml:space="preserve"> mais aussi dans ses activités personnelles. </w:t>
      </w:r>
      <w:r>
        <w:t>Il constitue</w:t>
      </w:r>
      <w:r w:rsidR="0002518E">
        <w:t xml:space="preserve"> un moment de questionnement </w:t>
      </w:r>
      <w:r>
        <w:t>et d’introspection pour l’agent qui le mobilise</w:t>
      </w:r>
      <w:r w:rsidR="0002518E">
        <w:t xml:space="preserve">. </w:t>
      </w:r>
    </w:p>
    <w:p w14:paraId="0E489530" w14:textId="0A6E9437" w:rsidR="0002518E" w:rsidRDefault="0002518E" w:rsidP="0002518E">
      <w:pPr>
        <w:spacing w:before="120" w:after="0"/>
        <w:jc w:val="both"/>
      </w:pPr>
      <w:r>
        <w:t>Le bilan de compétences</w:t>
      </w:r>
      <w:r w:rsidR="000D3771">
        <w:t xml:space="preserve">, réalisé par un prestataire, </w:t>
      </w:r>
      <w:r>
        <w:t>a pour objet</w:t>
      </w:r>
      <w:r w:rsidR="00C879CC">
        <w:t xml:space="preserve"> de</w:t>
      </w:r>
      <w:r>
        <w:t> :</w:t>
      </w:r>
    </w:p>
    <w:p w14:paraId="119004DE" w14:textId="6E6A1B5D" w:rsidR="0002518E" w:rsidRDefault="0002518E" w:rsidP="00C879CC">
      <w:pPr>
        <w:pStyle w:val="Paragraphedeliste"/>
        <w:numPr>
          <w:ilvl w:val="0"/>
          <w:numId w:val="12"/>
        </w:numPr>
        <w:spacing w:before="60" w:after="0"/>
        <w:contextualSpacing w:val="0"/>
        <w:jc w:val="both"/>
      </w:pPr>
      <w:r>
        <w:t>analyser les compétences professionnelles et personnelles de l'agent ;</w:t>
      </w:r>
    </w:p>
    <w:p w14:paraId="5D17757D" w14:textId="1D833ACE" w:rsidR="0002518E" w:rsidRDefault="0002518E" w:rsidP="00C879CC">
      <w:pPr>
        <w:pStyle w:val="Paragraphedeliste"/>
        <w:numPr>
          <w:ilvl w:val="0"/>
          <w:numId w:val="12"/>
        </w:numPr>
        <w:spacing w:before="60" w:after="0"/>
        <w:contextualSpacing w:val="0"/>
        <w:jc w:val="both"/>
      </w:pPr>
      <w:r>
        <w:t>analyser les aptitudes et les motivations de l'agent ;</w:t>
      </w:r>
    </w:p>
    <w:p w14:paraId="68032921" w14:textId="08C01C96" w:rsidR="0002518E" w:rsidRDefault="0002518E" w:rsidP="00C879CC">
      <w:pPr>
        <w:pStyle w:val="Paragraphedeliste"/>
        <w:numPr>
          <w:ilvl w:val="0"/>
          <w:numId w:val="12"/>
        </w:numPr>
        <w:spacing w:before="60" w:after="0"/>
        <w:contextualSpacing w:val="0"/>
        <w:jc w:val="both"/>
      </w:pPr>
      <w:r>
        <w:t xml:space="preserve">définir un projet professionnel et le cas échéant un </w:t>
      </w:r>
      <w:r w:rsidR="00F66017">
        <w:t>parcours</w:t>
      </w:r>
      <w:r>
        <w:t xml:space="preserve"> de formation.</w:t>
      </w:r>
    </w:p>
    <w:p w14:paraId="7DF379BA" w14:textId="2B18FB5B" w:rsidR="0002518E" w:rsidRDefault="00EB4446" w:rsidP="0002518E">
      <w:pPr>
        <w:spacing w:before="120" w:after="0"/>
        <w:jc w:val="both"/>
      </w:pPr>
      <w:r>
        <w:t>Dans ce cadre</w:t>
      </w:r>
      <w:r w:rsidR="0002518E">
        <w:t>, l’agent bénéficie</w:t>
      </w:r>
      <w:r w:rsidR="000D3771">
        <w:t xml:space="preserve"> de</w:t>
      </w:r>
      <w:r w:rsidR="0002518E">
        <w:t xml:space="preserve"> : </w:t>
      </w:r>
    </w:p>
    <w:p w14:paraId="5C4DC655" w14:textId="0DDBF1E4" w:rsidR="0002518E" w:rsidRPr="000D3771" w:rsidRDefault="0002518E" w:rsidP="00F66017">
      <w:pPr>
        <w:pStyle w:val="Paragraphedeliste"/>
        <w:numPr>
          <w:ilvl w:val="0"/>
          <w:numId w:val="17"/>
        </w:numPr>
        <w:spacing w:before="60" w:after="0"/>
        <w:contextualSpacing w:val="0"/>
        <w:jc w:val="both"/>
      </w:pPr>
      <w:r>
        <w:t xml:space="preserve">un </w:t>
      </w:r>
      <w:r w:rsidRPr="000D3771">
        <w:t xml:space="preserve">congé pour bilan de compétences, éventuellement fractionnable, qui ne peut excéder </w:t>
      </w:r>
      <w:r w:rsidRPr="000E2091">
        <w:rPr>
          <w:b/>
        </w:rPr>
        <w:t>24</w:t>
      </w:r>
      <w:r w:rsidR="000E2091" w:rsidRPr="000E2091">
        <w:rPr>
          <w:b/>
        </w:rPr>
        <w:t> </w:t>
      </w:r>
      <w:r w:rsidRPr="000E2091">
        <w:rPr>
          <w:b/>
        </w:rPr>
        <w:t>h</w:t>
      </w:r>
      <w:r w:rsidR="000E2091" w:rsidRPr="000E2091">
        <w:rPr>
          <w:b/>
        </w:rPr>
        <w:t>eures</w:t>
      </w:r>
      <w:r w:rsidRPr="000D3771">
        <w:t xml:space="preserve"> de temps de service</w:t>
      </w:r>
      <w:r w:rsidR="00F66AE7">
        <w:rPr>
          <w:rStyle w:val="Appelnotedebasdep"/>
        </w:rPr>
        <w:footnoteReference w:id="2"/>
      </w:r>
      <w:r w:rsidRPr="000D3771">
        <w:t xml:space="preserve">. Ces 24h </w:t>
      </w:r>
      <w:r w:rsidR="00C879CC" w:rsidRPr="000D3771">
        <w:t xml:space="preserve">se répartissent </w:t>
      </w:r>
      <w:r w:rsidRPr="000D3771">
        <w:t>en général</w:t>
      </w:r>
      <w:r w:rsidR="00C879CC" w:rsidRPr="000D3771">
        <w:t xml:space="preserve"> sur</w:t>
      </w:r>
      <w:r w:rsidRPr="000D3771">
        <w:t xml:space="preserve"> 3 journées de 8h</w:t>
      </w:r>
      <w:r w:rsidR="00A850D7">
        <w:t>,</w:t>
      </w:r>
      <w:r w:rsidRPr="000D3771">
        <w:t xml:space="preserve"> 4 journées de 6h ou 8 séances de 3h</w:t>
      </w:r>
      <w:r w:rsidR="000406D5" w:rsidRPr="000D3771">
        <w:t xml:space="preserve"> </w:t>
      </w:r>
      <w:r w:rsidR="00C879CC" w:rsidRPr="000D3771">
        <w:t>auxquelles s’ajoute</w:t>
      </w:r>
      <w:r w:rsidR="000406D5" w:rsidRPr="000D3771">
        <w:t xml:space="preserve"> du travail personnel entre chaque séance</w:t>
      </w:r>
      <w:r w:rsidRPr="000D3771">
        <w:t>.</w:t>
      </w:r>
      <w:r w:rsidR="000406D5" w:rsidRPr="000D3771">
        <w:t xml:space="preserve"> </w:t>
      </w:r>
    </w:p>
    <w:p w14:paraId="56A8EBDA" w14:textId="0EE636C9" w:rsidR="0002518E" w:rsidRDefault="0002518E" w:rsidP="00F66017">
      <w:pPr>
        <w:pStyle w:val="Paragraphedeliste"/>
        <w:numPr>
          <w:ilvl w:val="0"/>
          <w:numId w:val="17"/>
        </w:numPr>
        <w:spacing w:before="60" w:after="0"/>
        <w:contextualSpacing w:val="0"/>
        <w:jc w:val="both"/>
      </w:pPr>
      <w:r w:rsidRPr="000D3771">
        <w:t xml:space="preserve">la prise en charge financière du bilan </w:t>
      </w:r>
      <w:r>
        <w:t>de compétence</w:t>
      </w:r>
      <w:r w:rsidR="000D3771">
        <w:t>s</w:t>
      </w:r>
      <w:r>
        <w:t>.</w:t>
      </w:r>
    </w:p>
    <w:p w14:paraId="72CF2680" w14:textId="73DF7CD8" w:rsidR="00EB4446" w:rsidRDefault="00CE7EF5" w:rsidP="003A4D35">
      <w:pPr>
        <w:spacing w:before="120" w:after="0"/>
        <w:jc w:val="both"/>
      </w:pPr>
      <w:r>
        <w:t>À</w:t>
      </w:r>
      <w:r w:rsidR="0002518E">
        <w:t xml:space="preserve"> l’issu</w:t>
      </w:r>
      <w:r w:rsidR="00C879CC">
        <w:t>e</w:t>
      </w:r>
      <w:r w:rsidR="0002518E">
        <w:t xml:space="preserve"> </w:t>
      </w:r>
      <w:r w:rsidR="000D3771">
        <w:t>de celui-ci</w:t>
      </w:r>
      <w:r w:rsidR="0002518E">
        <w:t xml:space="preserve">, des besoins de formation peuvent émerger notamment </w:t>
      </w:r>
      <w:r w:rsidR="000D3771">
        <w:t>dans le cadre d’</w:t>
      </w:r>
      <w:r w:rsidR="0002518E">
        <w:t xml:space="preserve">un projet d’évolution professionnelle. </w:t>
      </w:r>
      <w:r w:rsidR="00C879CC">
        <w:t>Les dispositifs de formation peuven</w:t>
      </w:r>
      <w:r w:rsidR="000D3771">
        <w:t>t donc être mobilisés</w:t>
      </w:r>
      <w:r w:rsidR="00C879CC">
        <w:t xml:space="preserve"> de manière complémentaire.</w:t>
      </w:r>
    </w:p>
    <w:p w14:paraId="6DAFE42C" w14:textId="3CBD3562" w:rsidR="002677F5" w:rsidRDefault="003A4D35" w:rsidP="002677F5">
      <w:pPr>
        <w:spacing w:before="120" w:after="0"/>
        <w:jc w:val="both"/>
      </w:pPr>
      <w:r>
        <w:t xml:space="preserve">Le bilan de compétences est un outil à </w:t>
      </w:r>
      <w:r w:rsidR="003602CC">
        <w:t>utiliser</w:t>
      </w:r>
      <w:r>
        <w:t xml:space="preserve"> de façon parcimonieuse et réfléchi</w:t>
      </w:r>
      <w:r w:rsidR="00CE7EF5">
        <w:t>e</w:t>
      </w:r>
      <w:r>
        <w:t xml:space="preserve">. </w:t>
      </w:r>
      <w:r w:rsidR="003602CC">
        <w:t>Il</w:t>
      </w:r>
      <w:r w:rsidR="002677F5">
        <w:t xml:space="preserve"> n’est pas l’outil adéquat pour résoudre une situation de mal-être </w:t>
      </w:r>
      <w:r w:rsidR="00F66017">
        <w:t>ou de conflits au</w:t>
      </w:r>
      <w:r w:rsidR="002677F5">
        <w:t xml:space="preserve"> travail. </w:t>
      </w:r>
    </w:p>
    <w:p w14:paraId="670A5299" w14:textId="3CDE0A2D" w:rsidR="007F4D06" w:rsidRDefault="008F62DE" w:rsidP="008F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</w:pPr>
      <w:r>
        <w:rPr>
          <w:b/>
          <w:color w:val="538135" w:themeColor="accent6" w:themeShade="BF"/>
          <w:sz w:val="24"/>
          <w:szCs w:val="24"/>
        </w:rPr>
        <w:t>P</w:t>
      </w:r>
      <w:r w:rsidR="007F4D06">
        <w:rPr>
          <w:b/>
          <w:color w:val="538135" w:themeColor="accent6" w:themeShade="BF"/>
          <w:sz w:val="24"/>
          <w:szCs w:val="24"/>
        </w:rPr>
        <w:t>our les agents dont les droits à formation sont renforcés</w:t>
      </w:r>
      <w:r w:rsidR="007F4D06">
        <w:rPr>
          <w:rStyle w:val="Appelnotedebasdep"/>
          <w:b/>
          <w:color w:val="538135" w:themeColor="accent6" w:themeShade="BF"/>
          <w:sz w:val="24"/>
          <w:szCs w:val="24"/>
        </w:rPr>
        <w:footnoteReference w:id="3"/>
      </w:r>
      <w:r w:rsidR="007F4D06">
        <w:rPr>
          <w:b/>
          <w:color w:val="538135" w:themeColor="accent6" w:themeShade="BF"/>
          <w:sz w:val="24"/>
          <w:szCs w:val="24"/>
        </w:rPr>
        <w:t xml:space="preserve"> : </w:t>
      </w:r>
      <w:r w:rsidR="00B51687">
        <w:t>l</w:t>
      </w:r>
      <w:r w:rsidR="007F4D06">
        <w:t xml:space="preserve">’agent bénéficie d’un congé pour bilan de compétences porté à </w:t>
      </w:r>
      <w:r w:rsidR="007F4D06" w:rsidRPr="00017A02">
        <w:rPr>
          <w:b/>
        </w:rPr>
        <w:t>72h de temps de service</w:t>
      </w:r>
      <w:r w:rsidR="007F4D06">
        <w:t>.</w:t>
      </w:r>
    </w:p>
    <w:p w14:paraId="6141AB06" w14:textId="77777777" w:rsidR="008F62DE" w:rsidRDefault="008F62DE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br w:type="page"/>
      </w:r>
    </w:p>
    <w:p w14:paraId="59EF9D47" w14:textId="01CAEF0E" w:rsidR="0002518E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lastRenderedPageBreak/>
        <w:t xml:space="preserve">Qui peut mobiliser le </w:t>
      </w:r>
      <w:r w:rsidR="007826DD">
        <w:rPr>
          <w:b/>
          <w:color w:val="538135" w:themeColor="accent6" w:themeShade="BF"/>
          <w:sz w:val="24"/>
          <w:szCs w:val="24"/>
        </w:rPr>
        <w:t xml:space="preserve">congé pour </w:t>
      </w:r>
      <w:r w:rsidRPr="003A4D35">
        <w:rPr>
          <w:b/>
          <w:color w:val="538135" w:themeColor="accent6" w:themeShade="BF"/>
          <w:sz w:val="24"/>
          <w:szCs w:val="24"/>
        </w:rPr>
        <w:t>bilan de compétence</w:t>
      </w:r>
      <w:r w:rsidR="001D615E">
        <w:rPr>
          <w:b/>
          <w:color w:val="538135" w:themeColor="accent6" w:themeShade="BF"/>
          <w:sz w:val="24"/>
          <w:szCs w:val="24"/>
        </w:rPr>
        <w:t>s</w:t>
      </w:r>
      <w:r w:rsidRPr="003A4D35">
        <w:rPr>
          <w:b/>
          <w:color w:val="538135" w:themeColor="accent6" w:themeShade="BF"/>
          <w:sz w:val="24"/>
          <w:szCs w:val="24"/>
        </w:rPr>
        <w:t> ?</w:t>
      </w:r>
    </w:p>
    <w:p w14:paraId="614C036F" w14:textId="23E10D72" w:rsidR="00AE3D39" w:rsidRDefault="0002518E" w:rsidP="0002518E">
      <w:pPr>
        <w:spacing w:before="120" w:after="0"/>
        <w:jc w:val="both"/>
      </w:pPr>
      <w:r>
        <w:t>Tout agent public peut solliciter un bilan de compétence</w:t>
      </w:r>
      <w:r w:rsidR="00EB4446">
        <w:t>s</w:t>
      </w:r>
      <w:r w:rsidR="001D615E">
        <w:t xml:space="preserve"> (</w:t>
      </w:r>
      <w:r>
        <w:t xml:space="preserve">délai </w:t>
      </w:r>
      <w:r w:rsidR="001D615E">
        <w:t xml:space="preserve">de carence </w:t>
      </w:r>
      <w:r>
        <w:t xml:space="preserve">de </w:t>
      </w:r>
      <w:r w:rsidR="001D615E">
        <w:t>5 ans entre deux bilans</w:t>
      </w:r>
      <w:r w:rsidR="00F66AE7">
        <w:t xml:space="preserve"> de compétences</w:t>
      </w:r>
      <w:r w:rsidR="000E2091">
        <w:t>, réduit à 3 ans pour les agents dont les droits à formation sont renforcés</w:t>
      </w:r>
      <w:r w:rsidR="001D615E">
        <w:t>).</w:t>
      </w:r>
    </w:p>
    <w:p w14:paraId="07DA4132" w14:textId="43C7EE6B" w:rsidR="0002518E" w:rsidRDefault="00F66AE7" w:rsidP="0002518E">
      <w:pPr>
        <w:spacing w:before="120" w:after="0"/>
        <w:jc w:val="both"/>
      </w:pPr>
      <w:r>
        <w:rPr>
          <w:u w:val="single"/>
        </w:rPr>
        <w:t>Le p</w:t>
      </w:r>
      <w:r w:rsidR="002677F5" w:rsidRPr="003602CC">
        <w:rPr>
          <w:u w:val="single"/>
        </w:rPr>
        <w:t>ublic cible</w:t>
      </w:r>
      <w:r w:rsidR="002677F5" w:rsidRPr="003602CC">
        <w:rPr>
          <w:b/>
        </w:rPr>
        <w:t> </w:t>
      </w:r>
      <w:r>
        <w:t>au ministère est l’</w:t>
      </w:r>
      <w:r w:rsidR="0002518E">
        <w:t>agent qui, après avoir exercé des fonctions et acquis une certaine expérience</w:t>
      </w:r>
      <w:r w:rsidR="00EB4446">
        <w:t xml:space="preserve"> professionnelle</w:t>
      </w:r>
      <w:r w:rsidR="0002518E">
        <w:t xml:space="preserve">, souhaite se réorienter et entamer une carrière dans un nouveau domaine de compétences </w:t>
      </w:r>
      <w:r w:rsidR="00C879CC">
        <w:t>ou environnement. Un</w:t>
      </w:r>
      <w:r w:rsidR="0002518E">
        <w:t xml:space="preserve"> bilan de compétences lui permettrait </w:t>
      </w:r>
      <w:r w:rsidR="00C879CC">
        <w:t xml:space="preserve">ainsi </w:t>
      </w:r>
      <w:r w:rsidR="0002518E">
        <w:t>de mener à bien son projet d’évolution professionnelle</w:t>
      </w:r>
      <w:r w:rsidR="00C879CC">
        <w:t xml:space="preserve"> ou de mobilité</w:t>
      </w:r>
      <w:r w:rsidR="0002518E">
        <w:t xml:space="preserve">. </w:t>
      </w:r>
    </w:p>
    <w:p w14:paraId="5B03C619" w14:textId="5C0269E4" w:rsidR="0002518E" w:rsidRDefault="0002518E" w:rsidP="0002518E">
      <w:pPr>
        <w:spacing w:before="120" w:after="0"/>
        <w:jc w:val="both"/>
      </w:pPr>
      <w:r w:rsidRPr="001D615E">
        <w:t xml:space="preserve">L’administration </w:t>
      </w:r>
      <w:r>
        <w:t>peut aussi proposer à un agent de r</w:t>
      </w:r>
      <w:r w:rsidR="00C879CC">
        <w:t>éaliser un bilan de compétences afin d</w:t>
      </w:r>
      <w:r w:rsidR="00B51687">
        <w:t>e l</w:t>
      </w:r>
      <w:r w:rsidR="00C879CC">
        <w:t>’</w:t>
      </w:r>
      <w:r w:rsidR="00EB4446">
        <w:t xml:space="preserve">accompagner </w:t>
      </w:r>
      <w:r>
        <w:t>dans l’identification de ses compétences</w:t>
      </w:r>
      <w:r w:rsidR="00EB4446">
        <w:t xml:space="preserve"> et la construction de </w:t>
      </w:r>
      <w:r w:rsidR="00C879CC">
        <w:t>son parcours professionnel</w:t>
      </w:r>
      <w:r>
        <w:t xml:space="preserve">. </w:t>
      </w:r>
    </w:p>
    <w:p w14:paraId="1BF190BE" w14:textId="42853A3D" w:rsidR="00EB4446" w:rsidRDefault="00EB4446" w:rsidP="00EB4446">
      <w:pPr>
        <w:spacing w:before="120" w:after="0"/>
        <w:jc w:val="both"/>
      </w:pPr>
      <w:r>
        <w:t xml:space="preserve">L’agent doit </w:t>
      </w:r>
      <w:r w:rsidR="002677F5">
        <w:t xml:space="preserve">prendre la mesure de l’investissement nécessaire à sa réalisation et </w:t>
      </w:r>
      <w:r>
        <w:t xml:space="preserve">s’interroger sur </w:t>
      </w:r>
      <w:r w:rsidR="002677F5">
        <w:t xml:space="preserve">les raisons et les objectifs du recours à un </w:t>
      </w:r>
      <w:r>
        <w:t>bilan de compétences.</w:t>
      </w:r>
    </w:p>
    <w:p w14:paraId="6017ADC2" w14:textId="3D19514E" w:rsidR="0002518E" w:rsidRPr="003A4D35" w:rsidRDefault="0002518E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>Comment mobiliser un bilan de compétence</w:t>
      </w:r>
      <w:r w:rsidR="007826DD">
        <w:rPr>
          <w:b/>
          <w:color w:val="538135" w:themeColor="accent6" w:themeShade="BF"/>
          <w:sz w:val="24"/>
          <w:szCs w:val="24"/>
        </w:rPr>
        <w:t>s</w:t>
      </w:r>
      <w:r w:rsidRPr="003A4D35">
        <w:rPr>
          <w:b/>
          <w:color w:val="538135" w:themeColor="accent6" w:themeShade="BF"/>
          <w:sz w:val="24"/>
          <w:szCs w:val="24"/>
        </w:rPr>
        <w:t> ?</w:t>
      </w:r>
    </w:p>
    <w:p w14:paraId="78387530" w14:textId="63A53C8C" w:rsidR="003602CC" w:rsidRDefault="003602CC" w:rsidP="003602CC">
      <w:pPr>
        <w:spacing w:before="120" w:after="0"/>
        <w:jc w:val="both"/>
      </w:pPr>
      <w:r>
        <w:t>Le souhait de bénéficier d’un bilan de compétences peut être exprimé à tout moment. Néanmoins, l’entretien professionnel annuel de l'agent ou la réalisation d’un bilan de carrière sont des moments propices pour échanger sur des demandes de ce type. Les IGAPS</w:t>
      </w:r>
      <w:r w:rsidR="00B51687">
        <w:rPr>
          <w:rStyle w:val="Appelnotedebasdep"/>
        </w:rPr>
        <w:footnoteReference w:id="4"/>
      </w:r>
      <w:r>
        <w:t xml:space="preserve"> constituent </w:t>
      </w:r>
      <w:r w:rsidR="00F66017">
        <w:t>à cet égard d</w:t>
      </w:r>
      <w:r>
        <w:t>es interlocuteurs privilégiés</w:t>
      </w:r>
      <w:r w:rsidR="007826DD">
        <w:t>.</w:t>
      </w:r>
    </w:p>
    <w:p w14:paraId="78C97978" w14:textId="4350BC0D" w:rsidR="003602CC" w:rsidRDefault="001D615E" w:rsidP="002677F5">
      <w:pPr>
        <w:spacing w:before="120" w:after="0"/>
        <w:jc w:val="both"/>
      </w:pPr>
      <w:r>
        <w:t>Les différentes étapes de recours au bilan de compétences</w:t>
      </w:r>
      <w:r w:rsidR="00F66017">
        <w:t xml:space="preserve"> sont les suivantes</w:t>
      </w:r>
      <w:r w:rsidR="003602CC">
        <w:t> :</w:t>
      </w:r>
    </w:p>
    <w:p w14:paraId="60F9C15E" w14:textId="2F8F018C" w:rsidR="002677F5" w:rsidRDefault="003602CC" w:rsidP="007826DD">
      <w:pPr>
        <w:pStyle w:val="Paragraphedeliste"/>
        <w:numPr>
          <w:ilvl w:val="0"/>
          <w:numId w:val="15"/>
        </w:numPr>
        <w:spacing w:before="60" w:after="0"/>
        <w:contextualSpacing w:val="0"/>
        <w:jc w:val="both"/>
      </w:pPr>
      <w:r>
        <w:t>E</w:t>
      </w:r>
      <w:r w:rsidR="002677F5">
        <w:t>ntretien préalable</w:t>
      </w:r>
      <w:r w:rsidR="00AE3D39">
        <w:t xml:space="preserve"> </w:t>
      </w:r>
      <w:r w:rsidR="001D615E">
        <w:t xml:space="preserve">de l’agent </w:t>
      </w:r>
      <w:r w:rsidR="00AE3D39">
        <w:t xml:space="preserve">avec </w:t>
      </w:r>
      <w:r>
        <w:t>son supérieur hiérarchique</w:t>
      </w:r>
      <w:r w:rsidR="007826DD">
        <w:t> : l’agent p</w:t>
      </w:r>
      <w:r w:rsidR="00F66017">
        <w:t>résente sa demande de mobilisation d’</w:t>
      </w:r>
      <w:r w:rsidR="007826DD">
        <w:t xml:space="preserve">un bilan de compétences et </w:t>
      </w:r>
      <w:r w:rsidR="00F66017">
        <w:t>donc de</w:t>
      </w:r>
      <w:r w:rsidR="007826DD">
        <w:t xml:space="preserve"> congé de bilan de compétences </w:t>
      </w:r>
      <w:r>
        <w:t>;</w:t>
      </w:r>
    </w:p>
    <w:p w14:paraId="703871BE" w14:textId="7CA0DBB9" w:rsidR="00AE3D39" w:rsidRDefault="007826DD" w:rsidP="007826DD">
      <w:pPr>
        <w:pStyle w:val="Paragraphedeliste"/>
        <w:numPr>
          <w:ilvl w:val="0"/>
          <w:numId w:val="15"/>
        </w:numPr>
        <w:spacing w:before="60" w:after="0"/>
        <w:contextualSpacing w:val="0"/>
        <w:jc w:val="both"/>
      </w:pPr>
      <w:r>
        <w:t xml:space="preserve">Après en avoir </w:t>
      </w:r>
      <w:r w:rsidR="00D87165">
        <w:t>discuté</w:t>
      </w:r>
      <w:r>
        <w:t xml:space="preserve"> avec son supérieur hiérarchique, l’agent présente</w:t>
      </w:r>
      <w:r w:rsidR="003602CC">
        <w:t xml:space="preserve"> son projet a</w:t>
      </w:r>
      <w:r w:rsidR="00AE3D39">
        <w:t xml:space="preserve">u responsable local de formation </w:t>
      </w:r>
      <w:r w:rsidR="00421BD6">
        <w:t xml:space="preserve">de </w:t>
      </w:r>
      <w:r w:rsidR="00653ED7">
        <w:t xml:space="preserve">sa direction </w:t>
      </w:r>
      <w:r w:rsidR="003602CC">
        <w:t>(</w:t>
      </w:r>
      <w:r w:rsidR="00421BD6">
        <w:t xml:space="preserve">si agent </w:t>
      </w:r>
      <w:r w:rsidR="003602CC">
        <w:t>en a</w:t>
      </w:r>
      <w:r w:rsidR="00AE3D39">
        <w:t>dministration centrale</w:t>
      </w:r>
      <w:r w:rsidR="003602CC">
        <w:t>)</w:t>
      </w:r>
      <w:r w:rsidR="00AE3D39">
        <w:t xml:space="preserve"> ou </w:t>
      </w:r>
      <w:r w:rsidR="00421BD6">
        <w:t>au</w:t>
      </w:r>
      <w:r w:rsidR="00AE3D39">
        <w:t xml:space="preserve"> délégué régional à la formation continue </w:t>
      </w:r>
      <w:r w:rsidR="003602CC">
        <w:t>(</w:t>
      </w:r>
      <w:r w:rsidR="00421BD6">
        <w:t xml:space="preserve">si agent en </w:t>
      </w:r>
      <w:r w:rsidR="00BB6C15">
        <w:t>services déconcentrés ou établissements d’enseignement</w:t>
      </w:r>
      <w:r w:rsidR="00F66017">
        <w:t>). Cet</w:t>
      </w:r>
      <w:r w:rsidR="00D87165">
        <w:t xml:space="preserve"> échange est primordial pour déterminer si le bilan de compétence</w:t>
      </w:r>
      <w:r w:rsidR="00F66017">
        <w:t>s</w:t>
      </w:r>
      <w:r w:rsidR="00D87165">
        <w:t xml:space="preserve"> est l’outil adéquat pour l’agent qui en fait la demande</w:t>
      </w:r>
      <w:r w:rsidR="00B51687">
        <w:t>.</w:t>
      </w:r>
    </w:p>
    <w:p w14:paraId="09407019" w14:textId="18F3849E" w:rsidR="003602CC" w:rsidRDefault="00D87165" w:rsidP="007826DD">
      <w:pPr>
        <w:pStyle w:val="Paragraphedeliste"/>
        <w:numPr>
          <w:ilvl w:val="0"/>
          <w:numId w:val="15"/>
        </w:numPr>
        <w:spacing w:before="60" w:after="0"/>
        <w:contextualSpacing w:val="0"/>
        <w:jc w:val="both"/>
      </w:pPr>
      <w:r>
        <w:t>Il appartient à l’agent de procéder au d</w:t>
      </w:r>
      <w:r w:rsidR="006771ED">
        <w:t>émarchage</w:t>
      </w:r>
      <w:r w:rsidR="006771ED" w:rsidRPr="006771ED">
        <w:t xml:space="preserve"> </w:t>
      </w:r>
      <w:r w:rsidR="006771ED">
        <w:t>d</w:t>
      </w:r>
      <w:r w:rsidR="006771ED" w:rsidRPr="006771ED">
        <w:t xml:space="preserve">es prestataires afin de déterminer </w:t>
      </w:r>
      <w:r w:rsidR="006771ED">
        <w:t>celui qui sera le plus adapté à son besoin</w:t>
      </w:r>
      <w:r w:rsidR="00832D3C">
        <w:t xml:space="preserve"> </w:t>
      </w:r>
      <w:r>
        <w:t>(3</w:t>
      </w:r>
      <w:r w:rsidR="00B51687">
        <w:t xml:space="preserve"> devis).</w:t>
      </w:r>
    </w:p>
    <w:p w14:paraId="6D6444F7" w14:textId="14522F01" w:rsidR="00AE3D39" w:rsidRDefault="003602CC" w:rsidP="007826DD">
      <w:pPr>
        <w:pStyle w:val="Paragraphedeliste"/>
        <w:numPr>
          <w:ilvl w:val="0"/>
          <w:numId w:val="15"/>
        </w:numPr>
        <w:spacing w:before="60" w:after="0"/>
        <w:contextualSpacing w:val="0"/>
        <w:jc w:val="both"/>
      </w:pPr>
      <w:r>
        <w:t>Instruction de l</w:t>
      </w:r>
      <w:r w:rsidR="00CB65A8">
        <w:t>a demande de congé de bilan de compétence</w:t>
      </w:r>
      <w:r>
        <w:t>s</w:t>
      </w:r>
      <w:r w:rsidR="00CB65A8">
        <w:t xml:space="preserve"> par </w:t>
      </w:r>
      <w:r w:rsidR="00832D3C">
        <w:t>DRFC/DACFC</w:t>
      </w:r>
      <w:r w:rsidR="00B51687">
        <w:rPr>
          <w:rStyle w:val="Appelnotedebasdep"/>
        </w:rPr>
        <w:footnoteReference w:id="5"/>
      </w:r>
      <w:r w:rsidR="00832D3C">
        <w:t> :</w:t>
      </w:r>
    </w:p>
    <w:p w14:paraId="32AE0FA1" w14:textId="77777777" w:rsidR="00D87165" w:rsidRDefault="006771ED" w:rsidP="00D87165">
      <w:pPr>
        <w:pStyle w:val="Paragraphedeliste"/>
        <w:numPr>
          <w:ilvl w:val="0"/>
          <w:numId w:val="16"/>
        </w:numPr>
        <w:spacing w:before="60" w:after="0"/>
        <w:contextualSpacing w:val="0"/>
        <w:jc w:val="both"/>
      </w:pPr>
      <w:r>
        <w:t xml:space="preserve">En cas d’acceptation par l’administration : </w:t>
      </w:r>
    </w:p>
    <w:p w14:paraId="5756C7E2" w14:textId="03C8D567" w:rsidR="006771ED" w:rsidRDefault="00D87165" w:rsidP="00D87165">
      <w:pPr>
        <w:pStyle w:val="Paragraphedeliste"/>
        <w:numPr>
          <w:ilvl w:val="1"/>
          <w:numId w:val="16"/>
        </w:numPr>
        <w:spacing w:before="60" w:after="0"/>
        <w:contextualSpacing w:val="0"/>
        <w:jc w:val="both"/>
      </w:pPr>
      <w:r>
        <w:t xml:space="preserve">l’administration prend </w:t>
      </w:r>
      <w:r w:rsidR="006771ED">
        <w:t>en charge l'ensemble des frais liés au bilan sur la base d’une convention tripartite conclue entre l’agent, l’administra</w:t>
      </w:r>
      <w:r w:rsidR="00421BD6">
        <w:t>tion et l’organisme prestataire ;</w:t>
      </w:r>
    </w:p>
    <w:p w14:paraId="6EEE5D61" w14:textId="0AACD345" w:rsidR="00D87165" w:rsidRDefault="00D87165" w:rsidP="00D87165">
      <w:pPr>
        <w:pStyle w:val="Paragraphedeliste"/>
        <w:numPr>
          <w:ilvl w:val="1"/>
          <w:numId w:val="16"/>
        </w:numPr>
        <w:spacing w:before="60" w:after="0"/>
        <w:contextualSpacing w:val="0"/>
        <w:jc w:val="both"/>
      </w:pPr>
      <w:r>
        <w:t xml:space="preserve">l’agent bénéficie d’un congé pour bilan de compétences d’une durée maximale de 24h éventuellement fractionnable. </w:t>
      </w:r>
    </w:p>
    <w:p w14:paraId="6826E9AB" w14:textId="130686D6" w:rsidR="006771ED" w:rsidRDefault="006771ED" w:rsidP="00F66AE7">
      <w:pPr>
        <w:pStyle w:val="Paragraphedeliste"/>
        <w:numPr>
          <w:ilvl w:val="0"/>
          <w:numId w:val="16"/>
        </w:numPr>
        <w:spacing w:before="60" w:after="0"/>
        <w:contextualSpacing w:val="0"/>
        <w:jc w:val="both"/>
      </w:pPr>
      <w:r>
        <w:t xml:space="preserve">En cas </w:t>
      </w:r>
      <w:r w:rsidR="00F66017">
        <w:t>de refus par l’administration, l</w:t>
      </w:r>
      <w:r w:rsidR="00D87165">
        <w:t>’administration a pour obligation</w:t>
      </w:r>
      <w:r>
        <w:t xml:space="preserve"> de </w:t>
      </w:r>
      <w:r w:rsidR="00F66017">
        <w:t xml:space="preserve">le </w:t>
      </w:r>
      <w:r>
        <w:t>motiver</w:t>
      </w:r>
      <w:r w:rsidR="00443908">
        <w:t xml:space="preserve"> et de notifier la décision. L</w:t>
      </w:r>
      <w:r>
        <w:t xml:space="preserve">’absence de crédits disponibles </w:t>
      </w:r>
      <w:r w:rsidR="00443908">
        <w:t>peut</w:t>
      </w:r>
      <w:r w:rsidR="00F66017">
        <w:t xml:space="preserve"> être</w:t>
      </w:r>
      <w:r>
        <w:t xml:space="preserve"> un motif de refus. </w:t>
      </w:r>
    </w:p>
    <w:p w14:paraId="0969647A" w14:textId="77777777" w:rsidR="00CB24F9" w:rsidRDefault="00CB24F9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br w:type="page"/>
      </w:r>
    </w:p>
    <w:p w14:paraId="171CDE40" w14:textId="1B9049BC" w:rsidR="00AE3D39" w:rsidRPr="003A4D35" w:rsidRDefault="00AE3D39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lastRenderedPageBreak/>
        <w:t>Comment se déroule un bilan de compétence</w:t>
      </w:r>
      <w:r w:rsidR="007826DD">
        <w:rPr>
          <w:b/>
          <w:color w:val="538135" w:themeColor="accent6" w:themeShade="BF"/>
          <w:sz w:val="24"/>
          <w:szCs w:val="24"/>
        </w:rPr>
        <w:t>s</w:t>
      </w:r>
      <w:r w:rsidRPr="003A4D35">
        <w:rPr>
          <w:b/>
          <w:color w:val="538135" w:themeColor="accent6" w:themeShade="BF"/>
          <w:sz w:val="24"/>
          <w:szCs w:val="24"/>
        </w:rPr>
        <w:t> ?</w:t>
      </w:r>
    </w:p>
    <w:p w14:paraId="74B45971" w14:textId="15EEB1D1" w:rsidR="006771ED" w:rsidRDefault="006771ED" w:rsidP="006771ED">
      <w:pPr>
        <w:spacing w:before="120" w:after="0"/>
        <w:jc w:val="both"/>
      </w:pPr>
      <w:r>
        <w:t xml:space="preserve">Le congé pour bilan de compétences </w:t>
      </w:r>
      <w:r w:rsidRPr="00986F2A">
        <w:t>ne peut excéder 24</w:t>
      </w:r>
      <w:r w:rsidR="00746817">
        <w:t xml:space="preserve"> </w:t>
      </w:r>
      <w:r w:rsidRPr="00986F2A">
        <w:t>h</w:t>
      </w:r>
      <w:r w:rsidR="00746817">
        <w:t>eures</w:t>
      </w:r>
      <w:r w:rsidR="00105E1A">
        <w:rPr>
          <w:rStyle w:val="Appelnotedebasdep"/>
        </w:rPr>
        <w:footnoteReference w:id="6"/>
      </w:r>
      <w:r w:rsidRPr="00986F2A">
        <w:t xml:space="preserve"> (fractionnable) de temps de service</w:t>
      </w:r>
      <w:r>
        <w:t>. Pour compléter la préparation ou la réalisation du bilan de compétence, l’agent peut mobiliser son compte personnel de formation (CPF)</w:t>
      </w:r>
      <w:r w:rsidR="00675EA1">
        <w:rPr>
          <w:rStyle w:val="Appelnotedebasdep"/>
        </w:rPr>
        <w:footnoteReference w:id="7"/>
      </w:r>
      <w:r>
        <w:t xml:space="preserve">. </w:t>
      </w:r>
    </w:p>
    <w:p w14:paraId="238B74BF" w14:textId="12575EDD" w:rsidR="00F66017" w:rsidRPr="004A5327" w:rsidRDefault="00AE3D39" w:rsidP="004A5327">
      <w:pPr>
        <w:spacing w:before="120" w:after="0"/>
        <w:jc w:val="both"/>
      </w:pPr>
      <w:r>
        <w:t xml:space="preserve">Le </w:t>
      </w:r>
      <w:r w:rsidRPr="00986F2A">
        <w:t xml:space="preserve">document de synthèse du bilan de compétence </w:t>
      </w:r>
      <w:r w:rsidR="006771ED">
        <w:t xml:space="preserve">réalisé avec le prestataire </w:t>
      </w:r>
      <w:r w:rsidRPr="00986F2A">
        <w:t>est communicable au service chargé des ressources humaines</w:t>
      </w:r>
      <w:r w:rsidR="006771ED">
        <w:t xml:space="preserve"> de sa structure</w:t>
      </w:r>
      <w:r>
        <w:t xml:space="preserve">, </w:t>
      </w:r>
      <w:r w:rsidRPr="00986F2A">
        <w:t xml:space="preserve">sauf </w:t>
      </w:r>
      <w:r>
        <w:t>si</w:t>
      </w:r>
      <w:r w:rsidRPr="00986F2A">
        <w:t xml:space="preserve"> l'agent</w:t>
      </w:r>
      <w:r>
        <w:t xml:space="preserve"> s’y oppose. </w:t>
      </w:r>
    </w:p>
    <w:p w14:paraId="66FDF6BA" w14:textId="1CC62830" w:rsidR="00AE3D39" w:rsidRPr="003A4D35" w:rsidRDefault="007C749B" w:rsidP="003A4D3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>Quelles sont les</w:t>
      </w:r>
      <w:r w:rsidR="00F66017">
        <w:rPr>
          <w:b/>
          <w:color w:val="538135" w:themeColor="accent6" w:themeShade="BF"/>
          <w:sz w:val="24"/>
          <w:szCs w:val="24"/>
        </w:rPr>
        <w:t xml:space="preserve"> alternatives au bilan</w:t>
      </w:r>
      <w:r w:rsidR="00AE3D39" w:rsidRPr="003A4D35">
        <w:rPr>
          <w:b/>
          <w:color w:val="538135" w:themeColor="accent6" w:themeShade="BF"/>
          <w:sz w:val="24"/>
          <w:szCs w:val="24"/>
        </w:rPr>
        <w:t xml:space="preserve"> de compétences ? </w:t>
      </w:r>
    </w:p>
    <w:p w14:paraId="2AFF2D96" w14:textId="780165AF" w:rsidR="00EE310A" w:rsidRDefault="000D3771" w:rsidP="00EE310A">
      <w:pPr>
        <w:spacing w:before="120" w:after="0"/>
        <w:jc w:val="both"/>
      </w:pPr>
      <w:r>
        <w:t>Le</w:t>
      </w:r>
      <w:r w:rsidR="00EE310A">
        <w:t xml:space="preserve"> bilan de compétences </w:t>
      </w:r>
      <w:r>
        <w:t xml:space="preserve">n’a pas toujours été en mesure de répondre aux attentes de ses bénéficiaires </w:t>
      </w:r>
      <w:r w:rsidR="006771ED">
        <w:t xml:space="preserve">notamment par méconnaissance de son objet et de ses objectifs. </w:t>
      </w:r>
    </w:p>
    <w:p w14:paraId="7099C77A" w14:textId="3780DD2F" w:rsidR="007C749B" w:rsidRDefault="007C749B" w:rsidP="00EE310A">
      <w:pPr>
        <w:spacing w:before="120" w:after="0"/>
        <w:jc w:val="both"/>
      </w:pPr>
      <w:r>
        <w:t>F</w:t>
      </w:r>
      <w:r w:rsidR="00EE310A">
        <w:t xml:space="preserve">ace à ce constat, le ministère </w:t>
      </w:r>
      <w:r w:rsidR="006771ED">
        <w:t xml:space="preserve">chargé </w:t>
      </w:r>
      <w:r w:rsidR="00EE310A">
        <w:t>de l’agriculture a déployé des dispositifs permettant aux agents de faire le point sur leurs compétences et d’envisage</w:t>
      </w:r>
      <w:r w:rsidR="006771ED">
        <w:t xml:space="preserve">r une évolution professionnelle </w:t>
      </w:r>
      <w:r>
        <w:t>sans avoir recours à un bilan de compétence</w:t>
      </w:r>
      <w:r w:rsidR="006771ED">
        <w:t>s qui demande de l’investissement personnel pour l’agent et financier pour l’administration</w:t>
      </w:r>
      <w:r>
        <w:t xml:space="preserve">. </w:t>
      </w:r>
    </w:p>
    <w:p w14:paraId="1A84A7F0" w14:textId="62C5F671" w:rsidR="00EE310A" w:rsidRDefault="004A5327" w:rsidP="00F66017">
      <w:pPr>
        <w:spacing w:before="120"/>
      </w:pPr>
      <w:r>
        <w:t xml:space="preserve">Des </w:t>
      </w:r>
      <w:r w:rsidR="007C749B">
        <w:t>alternat</w:t>
      </w:r>
      <w:r w:rsidR="001D615E">
        <w:t>ives sont proposées aux agents :</w:t>
      </w:r>
    </w:p>
    <w:p w14:paraId="31E372D4" w14:textId="25066772" w:rsidR="00AE3D39" w:rsidRPr="001D615E" w:rsidRDefault="00EE310A" w:rsidP="001D615E">
      <w:pPr>
        <w:spacing w:before="120" w:after="0"/>
        <w:jc w:val="both"/>
        <w:rPr>
          <w:b/>
          <w:color w:val="538135" w:themeColor="accent6" w:themeShade="BF"/>
          <w:u w:val="single"/>
        </w:rPr>
      </w:pPr>
      <w:r w:rsidRPr="001D615E">
        <w:rPr>
          <w:b/>
          <w:color w:val="538135" w:themeColor="accent6" w:themeShade="BF"/>
          <w:u w:val="single"/>
        </w:rPr>
        <w:t xml:space="preserve">Les actions collectives </w:t>
      </w:r>
      <w:r w:rsidR="001D615E">
        <w:rPr>
          <w:b/>
          <w:color w:val="538135" w:themeColor="accent6" w:themeShade="BF"/>
          <w:u w:val="single"/>
        </w:rPr>
        <w:t>de formation</w:t>
      </w:r>
    </w:p>
    <w:p w14:paraId="3CACE137" w14:textId="7C6564AD" w:rsidR="00AE3D39" w:rsidRDefault="00EE310A" w:rsidP="00EE310A">
      <w:pPr>
        <w:spacing w:before="120" w:after="0"/>
        <w:jc w:val="both"/>
      </w:pPr>
      <w:r>
        <w:t>D</w:t>
      </w:r>
      <w:r w:rsidR="0002518E" w:rsidRPr="0002518E">
        <w:t xml:space="preserve">es actions </w:t>
      </w:r>
      <w:r w:rsidR="00F66017" w:rsidRPr="0002518E">
        <w:t>collective</w:t>
      </w:r>
      <w:r w:rsidR="00F66017">
        <w:t>s</w:t>
      </w:r>
      <w:r w:rsidR="00F66017" w:rsidRPr="0002518E">
        <w:t xml:space="preserve"> </w:t>
      </w:r>
      <w:r w:rsidR="0002518E" w:rsidRPr="0002518E">
        <w:t xml:space="preserve">de formation </w:t>
      </w:r>
      <w:r>
        <w:t>permettant</w:t>
      </w:r>
      <w:r w:rsidR="0002518E" w:rsidRPr="0002518E">
        <w:t xml:space="preserve"> de faire le point sur sa carrière et </w:t>
      </w:r>
      <w:r w:rsidR="001D615E">
        <w:t>s</w:t>
      </w:r>
      <w:r w:rsidR="0002518E" w:rsidRPr="0002518E">
        <w:t xml:space="preserve">es atouts </w:t>
      </w:r>
      <w:r w:rsidR="001D615E">
        <w:t xml:space="preserve">professionnels </w:t>
      </w:r>
      <w:r>
        <w:t>sont proposées</w:t>
      </w:r>
      <w:r w:rsidR="001D615E" w:rsidRPr="001D615E">
        <w:t xml:space="preserve"> </w:t>
      </w:r>
      <w:r w:rsidR="001D615E">
        <w:t xml:space="preserve">aux </w:t>
      </w:r>
      <w:r w:rsidR="001D615E" w:rsidRPr="0002518E">
        <w:t>agent</w:t>
      </w:r>
      <w:r w:rsidR="001D615E">
        <w:t>s</w:t>
      </w:r>
      <w:r w:rsidR="0002518E" w:rsidRPr="0002518E">
        <w:t xml:space="preserve">. </w:t>
      </w:r>
      <w:r w:rsidR="001D615E">
        <w:t xml:space="preserve">Elles peuvent </w:t>
      </w:r>
      <w:r w:rsidR="00F66017">
        <w:t>se révéler</w:t>
      </w:r>
      <w:r w:rsidR="0002518E" w:rsidRPr="0002518E">
        <w:t xml:space="preserve"> </w:t>
      </w:r>
      <w:r>
        <w:t xml:space="preserve">plus adaptées pour répondre aux différents </w:t>
      </w:r>
      <w:r w:rsidR="0002518E" w:rsidRPr="0002518E">
        <w:t>questionnements</w:t>
      </w:r>
      <w:r w:rsidR="001D615E">
        <w:t xml:space="preserve"> </w:t>
      </w:r>
      <w:r w:rsidR="00F66017">
        <w:t>susceptibles d’</w:t>
      </w:r>
      <w:r w:rsidR="001D615E">
        <w:t xml:space="preserve">apparaître au cours </w:t>
      </w:r>
      <w:r w:rsidR="00115F41">
        <w:t>d’une</w:t>
      </w:r>
      <w:r w:rsidR="001D615E">
        <w:t xml:space="preserve"> carrière</w:t>
      </w:r>
      <w:r w:rsidR="0002518E" w:rsidRPr="0002518E">
        <w:t xml:space="preserve">. </w:t>
      </w:r>
    </w:p>
    <w:p w14:paraId="79844E1B" w14:textId="565953EC" w:rsidR="00986F2A" w:rsidRDefault="001D615E" w:rsidP="007771E7">
      <w:pPr>
        <w:spacing w:before="120" w:after="0"/>
        <w:jc w:val="both"/>
      </w:pPr>
      <w:r>
        <w:t>Ainsi, c</w:t>
      </w:r>
      <w:r w:rsidR="0002518E" w:rsidRPr="0002518E">
        <w:t xml:space="preserve">haque délégation </w:t>
      </w:r>
      <w:r>
        <w:t xml:space="preserve">régionale ou </w:t>
      </w:r>
      <w:r w:rsidR="00653ED7">
        <w:t>d’administration centrale</w:t>
      </w:r>
      <w:r>
        <w:t xml:space="preserve"> </w:t>
      </w:r>
      <w:r w:rsidR="0002518E" w:rsidRPr="0002518E">
        <w:t xml:space="preserve">propose annuellement des sessions de formation </w:t>
      </w:r>
      <w:r>
        <w:t>en</w:t>
      </w:r>
      <w:r w:rsidR="0002518E" w:rsidRPr="0002518E">
        <w:t xml:space="preserve"> petit collectif (</w:t>
      </w:r>
      <w:r w:rsidR="00081373">
        <w:t xml:space="preserve">environ </w:t>
      </w:r>
      <w:r w:rsidR="0002518E" w:rsidRPr="0002518E">
        <w:t>6 personnes) permettant à l’agent d’identifier et de valoriser ses compétences, ses atouts ou son potentiel. Ces formations compren</w:t>
      </w:r>
      <w:r w:rsidR="00115F41">
        <w:t>nent</w:t>
      </w:r>
      <w:r w:rsidR="0002518E" w:rsidRPr="0002518E">
        <w:t xml:space="preserve"> une partie de test</w:t>
      </w:r>
      <w:r w:rsidR="00115F41">
        <w:t>s</w:t>
      </w:r>
      <w:r w:rsidR="0002518E" w:rsidRPr="0002518E">
        <w:t xml:space="preserve"> individuel</w:t>
      </w:r>
      <w:r w:rsidR="00115F41">
        <w:t>s</w:t>
      </w:r>
      <w:r w:rsidR="0002518E" w:rsidRPr="0002518E">
        <w:t xml:space="preserve"> et un échange avec le formateur permettant à l’agent d’effectuer un premier travail d’identification des compétences professionnelles.</w:t>
      </w:r>
    </w:p>
    <w:p w14:paraId="3BF55F06" w14:textId="5FBAD381" w:rsidR="00877E2E" w:rsidRDefault="00877E2E" w:rsidP="007771E7">
      <w:pPr>
        <w:spacing w:before="120" w:after="0"/>
        <w:jc w:val="both"/>
      </w:pPr>
      <w:r>
        <w:t>D’autres outils, qui ne relèvent pas de la formation professionnelle, peuvent être mobilisés :</w:t>
      </w:r>
    </w:p>
    <w:p w14:paraId="48EC313C" w14:textId="77777777" w:rsidR="00877E2E" w:rsidRPr="006771ED" w:rsidRDefault="00877E2E" w:rsidP="00877E2E">
      <w:pPr>
        <w:spacing w:before="120" w:after="0"/>
        <w:jc w:val="both"/>
        <w:rPr>
          <w:b/>
          <w:color w:val="538135" w:themeColor="accent6" w:themeShade="BF"/>
          <w:u w:val="single"/>
        </w:rPr>
      </w:pPr>
      <w:r w:rsidRPr="006771ED">
        <w:rPr>
          <w:b/>
          <w:color w:val="538135" w:themeColor="accent6" w:themeShade="BF"/>
          <w:u w:val="single"/>
        </w:rPr>
        <w:t xml:space="preserve">Les entretiens d’accompagnement </w:t>
      </w:r>
    </w:p>
    <w:p w14:paraId="282999FF" w14:textId="77777777" w:rsidR="00877E2E" w:rsidRDefault="00877E2E" w:rsidP="00877E2E">
      <w:pPr>
        <w:spacing w:before="120" w:after="0"/>
        <w:jc w:val="both"/>
      </w:pPr>
      <w:r w:rsidRPr="0002518E">
        <w:t>Des entretiens d’accompagnement</w:t>
      </w:r>
      <w:r>
        <w:t xml:space="preserve"> peuvent être</w:t>
      </w:r>
      <w:r w:rsidRPr="0002518E">
        <w:t xml:space="preserve"> réalisés par les IGAPS</w:t>
      </w:r>
      <w:r>
        <w:t>.</w:t>
      </w:r>
    </w:p>
    <w:p w14:paraId="081497F7" w14:textId="4D7DBAE0" w:rsidR="00081373" w:rsidRDefault="004A5327" w:rsidP="007771E7">
      <w:pPr>
        <w:spacing w:before="120" w:after="0"/>
        <w:jc w:val="both"/>
      </w:pPr>
      <w:r w:rsidRPr="004A5327">
        <w:rPr>
          <w:b/>
          <w:color w:val="538135" w:themeColor="accent6" w:themeShade="BF"/>
          <w:u w:val="single"/>
        </w:rPr>
        <w:t>Le bilan de parcours professionnel</w:t>
      </w:r>
      <w:r>
        <w:t xml:space="preserve"> </w:t>
      </w:r>
      <w:r w:rsidR="00CB24F9">
        <w:t>constitue</w:t>
      </w:r>
      <w:r w:rsidR="00081373">
        <w:t xml:space="preserve"> une analyse du parcours professionnel et des motivations de l'agent en vue de l'aider à élaborer et à mettre en</w:t>
      </w:r>
      <w:r w:rsidR="00877E2E">
        <w:t xml:space="preserve"> œuvre son projet professionnel. </w:t>
      </w:r>
    </w:p>
    <w:p w14:paraId="1F4E7F62" w14:textId="0B275C29" w:rsidR="004A5327" w:rsidRDefault="004A5327" w:rsidP="007771E7">
      <w:pPr>
        <w:spacing w:before="120" w:after="0"/>
        <w:jc w:val="both"/>
      </w:pPr>
      <w:r w:rsidRPr="004A5327">
        <w:rPr>
          <w:b/>
          <w:color w:val="538135" w:themeColor="accent6" w:themeShade="BF"/>
          <w:u w:val="single"/>
        </w:rPr>
        <w:t>Le plan individuel de développement des compétences</w:t>
      </w:r>
      <w:r w:rsidRPr="00877E2E">
        <w:rPr>
          <w:b/>
          <w:color w:val="538135" w:themeColor="accent6" w:themeShade="BF"/>
        </w:rPr>
        <w:t xml:space="preserve"> </w:t>
      </w:r>
      <w:r w:rsidR="00877E2E" w:rsidRPr="00877E2E">
        <w:t>a</w:t>
      </w:r>
      <w:r w:rsidR="00CB24F9">
        <w:t xml:space="preserve"> pour objet</w:t>
      </w:r>
      <w:r w:rsidR="00081373">
        <w:t xml:space="preserve"> la conception et la mise en œuvre d'un ensemble d'actions concourant à la réussite du projet d'évolution professionnelle de l'agent. Il vise à réduire l'écart entre compétences attendues et compétences détenues.</w:t>
      </w:r>
    </w:p>
    <w:p w14:paraId="425C693E" w14:textId="77777777" w:rsidR="00CB24F9" w:rsidRDefault="00CB24F9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br w:type="page"/>
      </w:r>
    </w:p>
    <w:p w14:paraId="210763B1" w14:textId="018765E3" w:rsidR="00BB6C15" w:rsidRPr="003A4D35" w:rsidRDefault="00BB6C15" w:rsidP="00BB6C1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lastRenderedPageBreak/>
        <w:t>Pour aller plus loin…</w:t>
      </w:r>
    </w:p>
    <w:p w14:paraId="1E1964A8" w14:textId="0A7D1733" w:rsidR="00BB6C15" w:rsidRDefault="00BB6C15" w:rsidP="00BB6C15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Article</w:t>
      </w:r>
      <w:r w:rsidR="00653ED7">
        <w:t>s</w:t>
      </w:r>
      <w:r>
        <w:t xml:space="preserve"> </w:t>
      </w:r>
      <w:r w:rsidR="00653ED7">
        <w:t>L</w:t>
      </w:r>
      <w:r w:rsidR="00115F41">
        <w:t xml:space="preserve">. </w:t>
      </w:r>
      <w:r w:rsidR="00653ED7">
        <w:t xml:space="preserve">422-1 et suivants du code général de la fonction publique </w:t>
      </w:r>
      <w:r>
        <w:t>;</w:t>
      </w:r>
    </w:p>
    <w:p w14:paraId="1724EB87" w14:textId="06F94020" w:rsidR="00BB6C15" w:rsidRDefault="00BB6C15" w:rsidP="00BB6C15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Article 22 du décret n°2007-1470 du 15 octobre 2007 modifié relatif à la formation professionnelle tout au long de la vie des fonctionnaires de l’</w:t>
      </w:r>
      <w:r w:rsidR="00877E2E">
        <w:t>É</w:t>
      </w:r>
      <w:r>
        <w:t>tat ;</w:t>
      </w:r>
    </w:p>
    <w:p w14:paraId="7E6C4B58" w14:textId="04D57732" w:rsidR="00BB6C15" w:rsidRDefault="00BB6C15" w:rsidP="00BB6C15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Article 8 du décret n°2007-1942 du 26 décembre 2007 relatif à la formation professionnelle des agents non titulaires de l’</w:t>
      </w:r>
      <w:r w:rsidR="00CE7EF5">
        <w:t>É</w:t>
      </w:r>
      <w:r>
        <w:t>tat […] ;</w:t>
      </w:r>
    </w:p>
    <w:p w14:paraId="65E52C71" w14:textId="77777777" w:rsidR="004030B9" w:rsidRDefault="00BB6C15" w:rsidP="004030B9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 xml:space="preserve">Article 8, 1° du décret n°2017-928 du 6 mai 2017 modifié relatif à la mise en œuvre du compte personnel d’activité dans la fonction publique et à la formation professionnelle tout au long de la vie ; </w:t>
      </w:r>
    </w:p>
    <w:p w14:paraId="1748AFEE" w14:textId="077B4A64" w:rsidR="004030B9" w:rsidRDefault="004030B9" w:rsidP="004030B9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Articles 7 et 8 du d</w:t>
      </w:r>
      <w:r w:rsidR="004D4C81">
        <w:t>écret n°</w:t>
      </w:r>
      <w:r w:rsidRPr="004030B9">
        <w:t>2022-1043 du 22 juillet 2022 relatif à la formation et à l'accompagnement personnalisé des agents publics en vue de favoriser leur évolution professionnelle</w:t>
      </w:r>
      <w:r>
        <w:t> ;</w:t>
      </w:r>
      <w:r w:rsidR="00877E2E">
        <w:t xml:space="preserve"> </w:t>
      </w:r>
    </w:p>
    <w:p w14:paraId="7F599C8B" w14:textId="6DAABCCA" w:rsidR="00BB6C15" w:rsidRDefault="00BB6C15" w:rsidP="00BB6C15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Arrêté du 31 juillet 2009 relatif au bilan de compétences des agents de l’</w:t>
      </w:r>
      <w:r w:rsidR="00877E2E">
        <w:t>É</w:t>
      </w:r>
      <w:r>
        <w:t>tat ;</w:t>
      </w:r>
    </w:p>
    <w:p w14:paraId="5C706A1F" w14:textId="3985BEB4" w:rsidR="0026711D" w:rsidRDefault="00BB6C15" w:rsidP="00BB6C15">
      <w:pPr>
        <w:pStyle w:val="Paragraphedeliste"/>
        <w:numPr>
          <w:ilvl w:val="0"/>
          <w:numId w:val="14"/>
        </w:numPr>
        <w:spacing w:before="120" w:after="0"/>
        <w:ind w:left="426" w:hanging="357"/>
        <w:contextualSpacing w:val="0"/>
        <w:jc w:val="both"/>
      </w:pPr>
      <w:r>
        <w:t>Article 1, 8° de l’arrêté du 29 décembre 2016 portant déconcentration des actes relatifs à la situation individuelle des agents publics exerçant leurs fonctions dans les services déconcentrés des administrations civiles de l'</w:t>
      </w:r>
      <w:r w:rsidR="00CE7EF5">
        <w:t>É</w:t>
      </w:r>
      <w:r>
        <w:t>tat […].</w:t>
      </w:r>
    </w:p>
    <w:p w14:paraId="5AF1E12C" w14:textId="774A37A7" w:rsidR="00CE7EF5" w:rsidRDefault="00CE7EF5" w:rsidP="00CE7EF5">
      <w:pPr>
        <w:spacing w:before="120" w:after="0"/>
        <w:jc w:val="both"/>
      </w:pPr>
    </w:p>
    <w:p w14:paraId="7545F102" w14:textId="743ADBFE" w:rsidR="00B51687" w:rsidRDefault="001104FC" w:rsidP="00CE7EF5">
      <w:pPr>
        <w:spacing w:before="120"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6A33" wp14:editId="376DC7F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743575" cy="457200"/>
                <wp:effectExtent l="0" t="0" r="2857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6C5A8" w14:textId="7C7A987D" w:rsidR="00B51687" w:rsidRDefault="00B51687" w:rsidP="00B51687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EXEMPLES DE MOBILISATION DU BILAN DE COMPÉTENCES PAR...</w:t>
                            </w:r>
                          </w:p>
                          <w:p w14:paraId="4B69A954" w14:textId="77777777" w:rsidR="00B51687" w:rsidRPr="0094359B" w:rsidRDefault="00B51687" w:rsidP="00B51687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6A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4" o:spid="_x0000_s1026" type="#_x0000_t61" style="position:absolute;left:0;text-align:left;margin-left:0;margin-top:13.25pt;width:452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" adj="6300,24300" fillcolor="white [3212]" strokecolor="#538135 [2409]" strokeweight="1.5pt">
                <v:textbox>
                  <w:txbxContent>
                    <w:p w14:paraId="75D6C5A8" w14:textId="7C7A987D" w:rsidR="00B51687" w:rsidRDefault="00B51687" w:rsidP="00B51687">
                      <w:pP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EXEMPLES DE MOBILISATION DU BILAN DE COMPÉTENCES PAR...</w:t>
                      </w:r>
                    </w:p>
                    <w:p w14:paraId="4B69A954" w14:textId="77777777" w:rsidR="00B51687" w:rsidRPr="0094359B" w:rsidRDefault="00B51687" w:rsidP="00B51687">
                      <w:pP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79DBB" w14:textId="0BCA8AC8" w:rsidR="00B51687" w:rsidRDefault="00B51687" w:rsidP="00CE7EF5">
      <w:pPr>
        <w:spacing w:before="120" w:after="0"/>
        <w:jc w:val="both"/>
      </w:pPr>
    </w:p>
    <w:p w14:paraId="4FED469F" w14:textId="0B800065" w:rsidR="00CE7EF5" w:rsidRDefault="00B51687" w:rsidP="00B51687">
      <w:pPr>
        <w:pStyle w:val="Paragraphedeliste"/>
        <w:numPr>
          <w:ilvl w:val="0"/>
          <w:numId w:val="18"/>
        </w:numPr>
        <w:spacing w:before="360" w:after="180"/>
        <w:jc w:val="both"/>
        <w:rPr>
          <w:sz w:val="24"/>
          <w:szCs w:val="24"/>
        </w:rPr>
      </w:pPr>
      <w:r>
        <w:rPr>
          <w:sz w:val="24"/>
          <w:szCs w:val="24"/>
        </w:rPr>
        <w:t>Une</w:t>
      </w:r>
      <w:r w:rsidR="009342F0" w:rsidRPr="00B51687">
        <w:rPr>
          <w:sz w:val="24"/>
          <w:szCs w:val="24"/>
        </w:rPr>
        <w:t xml:space="preserve"> </w:t>
      </w:r>
      <w:r w:rsidR="00CE7EF5" w:rsidRPr="00B51687">
        <w:rPr>
          <w:sz w:val="24"/>
          <w:szCs w:val="24"/>
        </w:rPr>
        <w:t>inspectrice en sécurité sanitaire des aliments</w:t>
      </w:r>
      <w:r w:rsidR="004E6DBD">
        <w:rPr>
          <w:sz w:val="24"/>
          <w:szCs w:val="24"/>
        </w:rPr>
        <w:t xml:space="preserve">, </w:t>
      </w:r>
      <w:r w:rsidR="00BC3957">
        <w:rPr>
          <w:sz w:val="24"/>
          <w:szCs w:val="24"/>
        </w:rPr>
        <w:t>en</w:t>
      </w:r>
      <w:r w:rsidR="006C7EFA">
        <w:rPr>
          <w:sz w:val="24"/>
          <w:szCs w:val="24"/>
        </w:rPr>
        <w:t xml:space="preserve"> poste</w:t>
      </w:r>
      <w:r w:rsidR="00BC3957">
        <w:rPr>
          <w:sz w:val="24"/>
          <w:szCs w:val="24"/>
        </w:rPr>
        <w:t xml:space="preserve"> depuis 20 ans</w:t>
      </w:r>
      <w:r w:rsidR="006C7EFA">
        <w:rPr>
          <w:sz w:val="24"/>
          <w:szCs w:val="24"/>
        </w:rPr>
        <w:t>, sembl</w:t>
      </w:r>
      <w:r w:rsidR="00BC3957">
        <w:rPr>
          <w:sz w:val="24"/>
          <w:szCs w:val="24"/>
        </w:rPr>
        <w:t>e</w:t>
      </w:r>
      <w:r w:rsidR="006C7EFA" w:rsidRPr="00B51687">
        <w:rPr>
          <w:sz w:val="24"/>
          <w:szCs w:val="24"/>
        </w:rPr>
        <w:t xml:space="preserve"> avoir fait le tour de ses missions </w:t>
      </w:r>
      <w:r w:rsidR="006C7EFA">
        <w:rPr>
          <w:sz w:val="24"/>
          <w:szCs w:val="24"/>
        </w:rPr>
        <w:t>et souhait</w:t>
      </w:r>
      <w:r w:rsidR="00BC3957">
        <w:rPr>
          <w:sz w:val="24"/>
          <w:szCs w:val="24"/>
        </w:rPr>
        <w:t>e</w:t>
      </w:r>
      <w:r w:rsidR="006C7EFA">
        <w:rPr>
          <w:sz w:val="24"/>
          <w:szCs w:val="24"/>
        </w:rPr>
        <w:t xml:space="preserve"> </w:t>
      </w:r>
      <w:r w:rsidR="00BC3957">
        <w:rPr>
          <w:sz w:val="24"/>
          <w:szCs w:val="24"/>
        </w:rPr>
        <w:t>se diriger</w:t>
      </w:r>
      <w:r w:rsidR="00CE7EF5" w:rsidRPr="00B51687">
        <w:rPr>
          <w:sz w:val="24"/>
          <w:szCs w:val="24"/>
        </w:rPr>
        <w:t xml:space="preserve"> vers un autre domaine d'activité au sein de la fonction publique. </w:t>
      </w:r>
      <w:r w:rsidR="009342F0" w:rsidRPr="00B51687">
        <w:rPr>
          <w:sz w:val="24"/>
          <w:szCs w:val="24"/>
        </w:rPr>
        <w:t>À la s</w:t>
      </w:r>
      <w:r w:rsidR="00CE7EF5" w:rsidRPr="00B51687">
        <w:rPr>
          <w:sz w:val="24"/>
          <w:szCs w:val="24"/>
        </w:rPr>
        <w:t xml:space="preserve">uite </w:t>
      </w:r>
      <w:r w:rsidR="009342F0" w:rsidRPr="00B51687">
        <w:rPr>
          <w:sz w:val="24"/>
          <w:szCs w:val="24"/>
        </w:rPr>
        <w:t>de</w:t>
      </w:r>
      <w:r w:rsidR="00CE7EF5" w:rsidRPr="00B51687">
        <w:rPr>
          <w:sz w:val="24"/>
          <w:szCs w:val="24"/>
        </w:rPr>
        <w:t xml:space="preserve"> plusieurs entretiens </w:t>
      </w:r>
      <w:r w:rsidR="004E6DBD">
        <w:rPr>
          <w:sz w:val="24"/>
          <w:szCs w:val="24"/>
        </w:rPr>
        <w:t xml:space="preserve">avec son IGAPS, elle a pu </w:t>
      </w:r>
      <w:r w:rsidR="00BC3957">
        <w:rPr>
          <w:sz w:val="24"/>
          <w:szCs w:val="24"/>
        </w:rPr>
        <w:t>déterminer</w:t>
      </w:r>
      <w:r w:rsidR="004E6DBD">
        <w:rPr>
          <w:sz w:val="24"/>
          <w:szCs w:val="24"/>
        </w:rPr>
        <w:t xml:space="preserve"> des po</w:t>
      </w:r>
      <w:r w:rsidR="00CE7EF5" w:rsidRPr="00B51687">
        <w:rPr>
          <w:sz w:val="24"/>
          <w:szCs w:val="24"/>
        </w:rPr>
        <w:t>stes vers lesquels elle pourrait évoluer</w:t>
      </w:r>
      <w:r w:rsidR="004E6DBD">
        <w:rPr>
          <w:sz w:val="24"/>
          <w:szCs w:val="24"/>
        </w:rPr>
        <w:t>.</w:t>
      </w:r>
      <w:r w:rsidR="00CE7EF5" w:rsidRPr="00B51687">
        <w:rPr>
          <w:sz w:val="24"/>
          <w:szCs w:val="24"/>
        </w:rPr>
        <w:t xml:space="preserve"> </w:t>
      </w:r>
      <w:r w:rsidR="004E6DBD">
        <w:rPr>
          <w:sz w:val="24"/>
          <w:szCs w:val="24"/>
        </w:rPr>
        <w:t>E</w:t>
      </w:r>
      <w:r w:rsidR="00CE7EF5" w:rsidRPr="00B51687">
        <w:rPr>
          <w:sz w:val="24"/>
          <w:szCs w:val="24"/>
        </w:rPr>
        <w:t xml:space="preserve">lle </w:t>
      </w:r>
      <w:r w:rsidR="006C7EFA">
        <w:rPr>
          <w:sz w:val="24"/>
          <w:szCs w:val="24"/>
        </w:rPr>
        <w:t xml:space="preserve">a </w:t>
      </w:r>
      <w:r w:rsidR="00CE7EF5" w:rsidRPr="00B51687">
        <w:rPr>
          <w:sz w:val="24"/>
          <w:szCs w:val="24"/>
        </w:rPr>
        <w:t>demand</w:t>
      </w:r>
      <w:r w:rsidR="006C7EFA">
        <w:rPr>
          <w:sz w:val="24"/>
          <w:szCs w:val="24"/>
        </w:rPr>
        <w:t>é</w:t>
      </w:r>
      <w:r w:rsidR="00CE7EF5" w:rsidRPr="00B51687">
        <w:rPr>
          <w:sz w:val="24"/>
          <w:szCs w:val="24"/>
        </w:rPr>
        <w:t xml:space="preserve"> </w:t>
      </w:r>
      <w:r w:rsidR="004E6DBD">
        <w:rPr>
          <w:sz w:val="24"/>
          <w:szCs w:val="24"/>
        </w:rPr>
        <w:t xml:space="preserve">à suivre </w:t>
      </w:r>
      <w:r w:rsidR="00CE7EF5" w:rsidRPr="00B51687">
        <w:rPr>
          <w:sz w:val="24"/>
          <w:szCs w:val="24"/>
        </w:rPr>
        <w:t>un bilan de compétence</w:t>
      </w:r>
      <w:r w:rsidR="004E6DBD">
        <w:rPr>
          <w:sz w:val="24"/>
          <w:szCs w:val="24"/>
        </w:rPr>
        <w:t>s</w:t>
      </w:r>
      <w:r w:rsidR="00CE7EF5" w:rsidRPr="00B51687">
        <w:rPr>
          <w:sz w:val="24"/>
          <w:szCs w:val="24"/>
        </w:rPr>
        <w:t xml:space="preserve"> </w:t>
      </w:r>
      <w:r w:rsidR="004E6DBD">
        <w:rPr>
          <w:sz w:val="24"/>
          <w:szCs w:val="24"/>
        </w:rPr>
        <w:t>lui permettant de repérer les compétences transférables aux postes auxquels elle aspire</w:t>
      </w:r>
      <w:r w:rsidR="00CE7EF5" w:rsidRPr="00B51687">
        <w:rPr>
          <w:sz w:val="24"/>
          <w:szCs w:val="24"/>
        </w:rPr>
        <w:t xml:space="preserve"> </w:t>
      </w:r>
      <w:r w:rsidR="004E6DBD">
        <w:rPr>
          <w:sz w:val="24"/>
          <w:szCs w:val="24"/>
        </w:rPr>
        <w:t xml:space="preserve">et </w:t>
      </w:r>
      <w:r w:rsidR="00BC3957">
        <w:rPr>
          <w:sz w:val="24"/>
          <w:szCs w:val="24"/>
        </w:rPr>
        <w:t>d’</w:t>
      </w:r>
      <w:r w:rsidR="004E6DBD">
        <w:rPr>
          <w:sz w:val="24"/>
          <w:szCs w:val="24"/>
        </w:rPr>
        <w:t>identifier les compétences à acquérir</w:t>
      </w:r>
      <w:r w:rsidR="00CE7EF5" w:rsidRPr="00B51687">
        <w:rPr>
          <w:sz w:val="24"/>
          <w:szCs w:val="24"/>
        </w:rPr>
        <w:t>.</w:t>
      </w:r>
    </w:p>
    <w:p w14:paraId="40A876CF" w14:textId="77777777" w:rsidR="00B51687" w:rsidRPr="00B51687" w:rsidRDefault="00B51687" w:rsidP="00B51687">
      <w:pPr>
        <w:pStyle w:val="Paragraphedeliste"/>
        <w:spacing w:before="360" w:after="180"/>
        <w:jc w:val="both"/>
        <w:rPr>
          <w:sz w:val="24"/>
          <w:szCs w:val="24"/>
        </w:rPr>
      </w:pPr>
    </w:p>
    <w:p w14:paraId="70685119" w14:textId="64DBCC97" w:rsidR="00CE7EF5" w:rsidRPr="00B51687" w:rsidRDefault="00D21DC4" w:rsidP="00F7336D">
      <w:pPr>
        <w:pStyle w:val="Paragraphedeliste"/>
        <w:numPr>
          <w:ilvl w:val="0"/>
          <w:numId w:val="18"/>
        </w:numPr>
        <w:spacing w:before="120" w:after="0"/>
        <w:jc w:val="both"/>
      </w:pPr>
      <w:r w:rsidRPr="00D21DC4">
        <w:rPr>
          <w:sz w:val="24"/>
          <w:szCs w:val="24"/>
        </w:rPr>
        <w:t>U</w:t>
      </w:r>
      <w:r w:rsidR="00B51687" w:rsidRPr="00D21DC4">
        <w:rPr>
          <w:sz w:val="24"/>
          <w:szCs w:val="24"/>
        </w:rPr>
        <w:t>ne enseignante</w:t>
      </w:r>
      <w:r w:rsidR="00112F16">
        <w:rPr>
          <w:sz w:val="24"/>
          <w:szCs w:val="24"/>
        </w:rPr>
        <w:t>,</w:t>
      </w:r>
      <w:r w:rsidR="00B51687" w:rsidRPr="00D21DC4">
        <w:rPr>
          <w:sz w:val="24"/>
          <w:szCs w:val="24"/>
        </w:rPr>
        <w:t xml:space="preserve"> </w:t>
      </w:r>
      <w:r w:rsidR="00112F16">
        <w:rPr>
          <w:sz w:val="24"/>
          <w:szCs w:val="24"/>
        </w:rPr>
        <w:t>avec</w:t>
      </w:r>
      <w:r w:rsidRPr="00D21DC4">
        <w:rPr>
          <w:sz w:val="24"/>
          <w:szCs w:val="24"/>
        </w:rPr>
        <w:t xml:space="preserve"> 15 ans d’expérience</w:t>
      </w:r>
      <w:r w:rsidR="00112F16">
        <w:rPr>
          <w:sz w:val="24"/>
          <w:szCs w:val="24"/>
        </w:rPr>
        <w:t>,</w:t>
      </w:r>
      <w:r w:rsidRPr="00D21DC4">
        <w:rPr>
          <w:sz w:val="24"/>
          <w:szCs w:val="24"/>
        </w:rPr>
        <w:t xml:space="preserve"> envisage</w:t>
      </w:r>
      <w:r w:rsidR="00112F16">
        <w:rPr>
          <w:sz w:val="24"/>
          <w:szCs w:val="24"/>
        </w:rPr>
        <w:t>ait</w:t>
      </w:r>
      <w:r w:rsidRPr="00D21DC4">
        <w:rPr>
          <w:sz w:val="24"/>
          <w:szCs w:val="24"/>
        </w:rPr>
        <w:t xml:space="preserve"> une reconversion professionnelle.</w:t>
      </w:r>
      <w:r w:rsidR="006C7EFA" w:rsidRPr="00D21DC4">
        <w:rPr>
          <w:sz w:val="24"/>
          <w:szCs w:val="24"/>
        </w:rPr>
        <w:t xml:space="preserve"> Elle </w:t>
      </w:r>
      <w:r w:rsidR="00CE7EF5" w:rsidRPr="00D21DC4">
        <w:rPr>
          <w:sz w:val="24"/>
          <w:szCs w:val="24"/>
        </w:rPr>
        <w:t xml:space="preserve">a sollicité la DRFC et l'IGAPS afin </w:t>
      </w:r>
      <w:r w:rsidRPr="00D21DC4">
        <w:rPr>
          <w:sz w:val="24"/>
          <w:szCs w:val="24"/>
        </w:rPr>
        <w:t xml:space="preserve">d’être conseillée et s’est engagée, après mûre réflexion, dans </w:t>
      </w:r>
      <w:r w:rsidR="00CE7EF5" w:rsidRPr="00D21DC4">
        <w:rPr>
          <w:sz w:val="24"/>
          <w:szCs w:val="24"/>
        </w:rPr>
        <w:t>un bilan de compétences</w:t>
      </w:r>
      <w:r w:rsidRPr="00D21DC4">
        <w:rPr>
          <w:sz w:val="24"/>
          <w:szCs w:val="24"/>
        </w:rPr>
        <w:t xml:space="preserve">. </w:t>
      </w:r>
      <w:r w:rsidR="00CE7EF5" w:rsidRPr="00D21DC4">
        <w:rPr>
          <w:sz w:val="24"/>
          <w:szCs w:val="24"/>
        </w:rPr>
        <w:t>A l'issu</w:t>
      </w:r>
      <w:r w:rsidR="00B51687" w:rsidRPr="00D21DC4">
        <w:rPr>
          <w:sz w:val="24"/>
          <w:szCs w:val="24"/>
        </w:rPr>
        <w:t>e</w:t>
      </w:r>
      <w:r w:rsidRPr="00D21DC4">
        <w:rPr>
          <w:sz w:val="24"/>
          <w:szCs w:val="24"/>
        </w:rPr>
        <w:t xml:space="preserve"> de ce bilan</w:t>
      </w:r>
      <w:r w:rsidR="00CE7EF5" w:rsidRPr="00D21D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elle a souhaité poursuivre sa carrière dans le secteur privé et </w:t>
      </w:r>
      <w:r w:rsidR="00CE7EF5" w:rsidRPr="00D21DC4">
        <w:rPr>
          <w:sz w:val="24"/>
          <w:szCs w:val="24"/>
        </w:rPr>
        <w:t xml:space="preserve">a </w:t>
      </w:r>
      <w:r w:rsidRPr="00D21DC4">
        <w:rPr>
          <w:sz w:val="24"/>
          <w:szCs w:val="24"/>
        </w:rPr>
        <w:t xml:space="preserve">déposé un dossier afin de </w:t>
      </w:r>
      <w:r w:rsidR="00B51687" w:rsidRPr="00D21DC4">
        <w:rPr>
          <w:sz w:val="24"/>
          <w:szCs w:val="24"/>
        </w:rPr>
        <w:t>mobilis</w:t>
      </w:r>
      <w:r w:rsidRPr="00D21DC4">
        <w:rPr>
          <w:sz w:val="24"/>
          <w:szCs w:val="24"/>
        </w:rPr>
        <w:t>er</w:t>
      </w:r>
      <w:r w:rsidR="00B51687" w:rsidRPr="00D21DC4">
        <w:rPr>
          <w:sz w:val="24"/>
          <w:szCs w:val="24"/>
        </w:rPr>
        <w:t xml:space="preserve"> son compte personnel de formation (</w:t>
      </w:r>
      <w:r w:rsidR="00CE7EF5" w:rsidRPr="00D21DC4">
        <w:rPr>
          <w:sz w:val="24"/>
          <w:szCs w:val="24"/>
        </w:rPr>
        <w:t>CPF</w:t>
      </w:r>
      <w:r w:rsidR="00B51687" w:rsidRPr="00D21DC4">
        <w:rPr>
          <w:sz w:val="24"/>
          <w:szCs w:val="24"/>
        </w:rPr>
        <w:t>)</w:t>
      </w:r>
      <w:r w:rsidR="00CE7EF5" w:rsidRPr="00D21DC4">
        <w:rPr>
          <w:sz w:val="24"/>
          <w:szCs w:val="24"/>
        </w:rPr>
        <w:t xml:space="preserve"> pour suivre une formation de sophrologue. </w:t>
      </w:r>
    </w:p>
    <w:sectPr w:rsidR="00CE7EF5" w:rsidRPr="00B51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895A" w14:textId="77777777" w:rsidR="0002518E" w:rsidRDefault="0002518E" w:rsidP="0002518E">
      <w:pPr>
        <w:spacing w:after="0" w:line="240" w:lineRule="auto"/>
      </w:pPr>
      <w:r>
        <w:separator/>
      </w:r>
    </w:p>
  </w:endnote>
  <w:endnote w:type="continuationSeparator" w:id="0">
    <w:p w14:paraId="74614E37" w14:textId="77777777" w:rsidR="0002518E" w:rsidRDefault="0002518E" w:rsidP="0002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F6D6" w14:textId="77777777" w:rsidR="00E2774E" w:rsidRDefault="00E277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370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12D87" w14:textId="2A115059" w:rsidR="009A551F" w:rsidRDefault="009A551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E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E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FF7A0" w14:textId="77777777" w:rsidR="009A551F" w:rsidRDefault="009A55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6078" w14:textId="77777777" w:rsidR="00E2774E" w:rsidRDefault="00E277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20CB4" w14:textId="77777777" w:rsidR="0002518E" w:rsidRDefault="0002518E" w:rsidP="0002518E">
      <w:pPr>
        <w:spacing w:after="0" w:line="240" w:lineRule="auto"/>
      </w:pPr>
      <w:r>
        <w:separator/>
      </w:r>
    </w:p>
  </w:footnote>
  <w:footnote w:type="continuationSeparator" w:id="0">
    <w:p w14:paraId="7BF5E58A" w14:textId="77777777" w:rsidR="0002518E" w:rsidRDefault="0002518E" w:rsidP="0002518E">
      <w:pPr>
        <w:spacing w:after="0" w:line="240" w:lineRule="auto"/>
      </w:pPr>
      <w:r>
        <w:continuationSeparator/>
      </w:r>
    </w:p>
  </w:footnote>
  <w:footnote w:id="1">
    <w:p w14:paraId="66911D2F" w14:textId="4655217D" w:rsidR="0002518E" w:rsidRDefault="0002518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2518E">
        <w:t>Attention, le bilan de compétences n’est pas un outi</w:t>
      </w:r>
      <w:r w:rsidR="00877E2E">
        <w:t>l pour les mobilités en général</w:t>
      </w:r>
      <w:bookmarkStart w:id="0" w:name="_GoBack"/>
      <w:bookmarkEnd w:id="0"/>
      <w:r w:rsidRPr="0002518E">
        <w:t>.</w:t>
      </w:r>
    </w:p>
  </w:footnote>
  <w:footnote w:id="2">
    <w:p w14:paraId="49DB6888" w14:textId="00D79052" w:rsidR="00F66AE7" w:rsidRDefault="00F66AE7">
      <w:pPr>
        <w:pStyle w:val="Notedebasdepage"/>
      </w:pPr>
      <w:r>
        <w:rPr>
          <w:rStyle w:val="Appelnotedebasdep"/>
        </w:rPr>
        <w:footnoteRef/>
      </w:r>
      <w:r>
        <w:t xml:space="preserve"> La durée du congé pour bilan de compétences peut être supérieure : cf. droits complémentaires pour les agents dont les droits à formation sont renforcés.</w:t>
      </w:r>
    </w:p>
  </w:footnote>
  <w:footnote w:id="3">
    <w:p w14:paraId="367AA45E" w14:textId="0F9C7F43" w:rsidR="007F4D06" w:rsidRDefault="007F4D06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 w:rsidR="00017A02">
        <w:t>gents mentionnés à l’a</w:t>
      </w:r>
      <w:r>
        <w:t>rticle L</w:t>
      </w:r>
      <w:r w:rsidR="008F62DE">
        <w:t xml:space="preserve">. </w:t>
      </w:r>
      <w:r>
        <w:t>422-3 du code général de la fonction publique</w:t>
      </w:r>
    </w:p>
  </w:footnote>
  <w:footnote w:id="4">
    <w:p w14:paraId="5510B634" w14:textId="3979BE36" w:rsidR="00B51687" w:rsidRDefault="00B51687">
      <w:pPr>
        <w:pStyle w:val="Notedebasdepage"/>
      </w:pPr>
      <w:r>
        <w:rPr>
          <w:rStyle w:val="Appelnotedebasdep"/>
        </w:rPr>
        <w:footnoteRef/>
      </w:r>
      <w:r>
        <w:t xml:space="preserve"> Ingénieurs et inspecteurs généraux chargés de l’appui aux personnes et aux structures</w:t>
      </w:r>
    </w:p>
  </w:footnote>
  <w:footnote w:id="5">
    <w:p w14:paraId="2FE1E739" w14:textId="72F96019" w:rsidR="00B51687" w:rsidRDefault="00B5168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51687">
        <w:t>Délégation d'administration centrale à la formation continue</w:t>
      </w:r>
    </w:p>
  </w:footnote>
  <w:footnote w:id="6">
    <w:p w14:paraId="3E489590" w14:textId="1B35CABA" w:rsidR="00105E1A" w:rsidRDefault="00105E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75EA1">
        <w:t>La durée du congé pour bilan de compétences peut être supérieure : cf. droits complémentaires pour les agents dont les droits à formation sont renforcés.</w:t>
      </w:r>
    </w:p>
  </w:footnote>
  <w:footnote w:id="7">
    <w:p w14:paraId="50AEE81A" w14:textId="24912B4B" w:rsidR="00675EA1" w:rsidRDefault="00675EA1">
      <w:pPr>
        <w:pStyle w:val="Notedebasdepage"/>
      </w:pPr>
      <w:r>
        <w:rPr>
          <w:rStyle w:val="Appelnotedebasdep"/>
        </w:rPr>
        <w:footnoteRef/>
      </w:r>
      <w:r>
        <w:t xml:space="preserve"> Fiche 8 Compte personnel de 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E5BA8" w14:textId="3479CB02" w:rsidR="00E2774E" w:rsidRDefault="00E277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39EF" w14:textId="3F6DE8DD" w:rsidR="00E2774E" w:rsidRDefault="00E277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8CBE" w14:textId="4D50EBFB" w:rsidR="00E2774E" w:rsidRDefault="00E277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C9"/>
    <w:multiLevelType w:val="hybridMultilevel"/>
    <w:tmpl w:val="8F30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62F"/>
    <w:multiLevelType w:val="hybridMultilevel"/>
    <w:tmpl w:val="24AAFD0C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5828"/>
    <w:multiLevelType w:val="hybridMultilevel"/>
    <w:tmpl w:val="7E46A8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5E6"/>
    <w:multiLevelType w:val="hybridMultilevel"/>
    <w:tmpl w:val="04C0A13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3B6DB0"/>
    <w:multiLevelType w:val="hybridMultilevel"/>
    <w:tmpl w:val="0C709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AC2"/>
    <w:multiLevelType w:val="hybridMultilevel"/>
    <w:tmpl w:val="DE6E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41E"/>
    <w:multiLevelType w:val="hybridMultilevel"/>
    <w:tmpl w:val="116CD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22EF"/>
    <w:multiLevelType w:val="hybridMultilevel"/>
    <w:tmpl w:val="DDFEF9F6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95D1D"/>
    <w:multiLevelType w:val="hybridMultilevel"/>
    <w:tmpl w:val="ECA0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430F"/>
    <w:multiLevelType w:val="hybridMultilevel"/>
    <w:tmpl w:val="9AD2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65832"/>
    <w:multiLevelType w:val="hybridMultilevel"/>
    <w:tmpl w:val="3A867B22"/>
    <w:lvl w:ilvl="0" w:tplc="E8DE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382D"/>
    <w:multiLevelType w:val="hybridMultilevel"/>
    <w:tmpl w:val="AAE228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551F"/>
    <w:multiLevelType w:val="hybridMultilevel"/>
    <w:tmpl w:val="7626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6192"/>
    <w:multiLevelType w:val="hybridMultilevel"/>
    <w:tmpl w:val="C35E7C70"/>
    <w:lvl w:ilvl="0" w:tplc="298659E6">
      <w:start w:val="1"/>
      <w:numFmt w:val="bullet"/>
      <w:lvlText w:val="-"/>
      <w:lvlJc w:val="left"/>
      <w:pPr>
        <w:ind w:left="72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61530B65"/>
    <w:multiLevelType w:val="hybridMultilevel"/>
    <w:tmpl w:val="A8984E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E18F6"/>
    <w:multiLevelType w:val="hybridMultilevel"/>
    <w:tmpl w:val="AEAA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87CDB"/>
    <w:multiLevelType w:val="hybridMultilevel"/>
    <w:tmpl w:val="6256ECD4"/>
    <w:lvl w:ilvl="0" w:tplc="29865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FCA"/>
    <w:multiLevelType w:val="hybridMultilevel"/>
    <w:tmpl w:val="E0C8E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1E"/>
    <w:rsid w:val="00017A02"/>
    <w:rsid w:val="00024D15"/>
    <w:rsid w:val="0002518E"/>
    <w:rsid w:val="000406D5"/>
    <w:rsid w:val="00081373"/>
    <w:rsid w:val="000A591E"/>
    <w:rsid w:val="000D3771"/>
    <w:rsid w:val="000E2091"/>
    <w:rsid w:val="00105E1A"/>
    <w:rsid w:val="001104FC"/>
    <w:rsid w:val="00112F16"/>
    <w:rsid w:val="00115F41"/>
    <w:rsid w:val="001D615E"/>
    <w:rsid w:val="0026711D"/>
    <w:rsid w:val="002677F5"/>
    <w:rsid w:val="002922B0"/>
    <w:rsid w:val="003602CC"/>
    <w:rsid w:val="00392450"/>
    <w:rsid w:val="003A1B74"/>
    <w:rsid w:val="003A4D35"/>
    <w:rsid w:val="003C6B3B"/>
    <w:rsid w:val="003F0A2C"/>
    <w:rsid w:val="003F7058"/>
    <w:rsid w:val="004030B9"/>
    <w:rsid w:val="00421BD6"/>
    <w:rsid w:val="00443908"/>
    <w:rsid w:val="00486F07"/>
    <w:rsid w:val="004A4D15"/>
    <w:rsid w:val="004A5327"/>
    <w:rsid w:val="004D3BB9"/>
    <w:rsid w:val="004D4C81"/>
    <w:rsid w:val="004E6DBD"/>
    <w:rsid w:val="005847D8"/>
    <w:rsid w:val="005A4951"/>
    <w:rsid w:val="005E4BD6"/>
    <w:rsid w:val="00602845"/>
    <w:rsid w:val="00624F51"/>
    <w:rsid w:val="00653ED7"/>
    <w:rsid w:val="00654473"/>
    <w:rsid w:val="00675EA1"/>
    <w:rsid w:val="006771ED"/>
    <w:rsid w:val="006C7EFA"/>
    <w:rsid w:val="006E1FA2"/>
    <w:rsid w:val="006E3CA0"/>
    <w:rsid w:val="007268EE"/>
    <w:rsid w:val="00746817"/>
    <w:rsid w:val="007771E7"/>
    <w:rsid w:val="007826DD"/>
    <w:rsid w:val="007C749B"/>
    <w:rsid w:val="007F4D06"/>
    <w:rsid w:val="008267B7"/>
    <w:rsid w:val="00832D3C"/>
    <w:rsid w:val="00877E2E"/>
    <w:rsid w:val="008F62DE"/>
    <w:rsid w:val="009342F0"/>
    <w:rsid w:val="00986F2A"/>
    <w:rsid w:val="009902E6"/>
    <w:rsid w:val="00996969"/>
    <w:rsid w:val="009A551F"/>
    <w:rsid w:val="009E37DC"/>
    <w:rsid w:val="00A044DE"/>
    <w:rsid w:val="00A16F4E"/>
    <w:rsid w:val="00A850D7"/>
    <w:rsid w:val="00AE3D39"/>
    <w:rsid w:val="00B2553B"/>
    <w:rsid w:val="00B31CDF"/>
    <w:rsid w:val="00B51687"/>
    <w:rsid w:val="00B524F0"/>
    <w:rsid w:val="00B85C56"/>
    <w:rsid w:val="00B86A1A"/>
    <w:rsid w:val="00B90949"/>
    <w:rsid w:val="00BB6C15"/>
    <w:rsid w:val="00BC3957"/>
    <w:rsid w:val="00BC6327"/>
    <w:rsid w:val="00C879CC"/>
    <w:rsid w:val="00CB24F9"/>
    <w:rsid w:val="00CB65A8"/>
    <w:rsid w:val="00CE7EF5"/>
    <w:rsid w:val="00D171A7"/>
    <w:rsid w:val="00D21DC4"/>
    <w:rsid w:val="00D67079"/>
    <w:rsid w:val="00D87165"/>
    <w:rsid w:val="00DC3260"/>
    <w:rsid w:val="00E2774E"/>
    <w:rsid w:val="00E37CE5"/>
    <w:rsid w:val="00E6441D"/>
    <w:rsid w:val="00E65EF7"/>
    <w:rsid w:val="00EB4446"/>
    <w:rsid w:val="00EE310A"/>
    <w:rsid w:val="00EE6D92"/>
    <w:rsid w:val="00F036C1"/>
    <w:rsid w:val="00F23BA3"/>
    <w:rsid w:val="00F66017"/>
    <w:rsid w:val="00F66AE7"/>
    <w:rsid w:val="00F7339B"/>
    <w:rsid w:val="00FD31C9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70A6E4"/>
  <w15:chartTrackingRefBased/>
  <w15:docId w15:val="{3B8E529C-4332-4A60-B356-CB0E467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9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4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D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D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D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1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1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1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18E"/>
    <w:rPr>
      <w:vertAlign w:val="superscript"/>
    </w:rPr>
  </w:style>
  <w:style w:type="table" w:styleId="Grilledutableau">
    <w:name w:val="Table Grid"/>
    <w:basedOn w:val="TableauNormal"/>
    <w:uiPriority w:val="39"/>
    <w:rsid w:val="003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51F"/>
  </w:style>
  <w:style w:type="paragraph" w:styleId="Pieddepage">
    <w:name w:val="footer"/>
    <w:basedOn w:val="Normal"/>
    <w:link w:val="PieddepageCar"/>
    <w:uiPriority w:val="99"/>
    <w:unhideWhenUsed/>
    <w:rsid w:val="009A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Delphine LASNE</cp:lastModifiedBy>
  <cp:revision>2</cp:revision>
  <dcterms:created xsi:type="dcterms:W3CDTF">2022-11-09T13:00:00Z</dcterms:created>
  <dcterms:modified xsi:type="dcterms:W3CDTF">2022-11-09T13:00:00Z</dcterms:modified>
</cp:coreProperties>
</file>