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18DE3C" w14:textId="2F90D630" w:rsidR="00456D59" w:rsidRPr="005C046F" w:rsidRDefault="00456D59" w:rsidP="005C046F">
      <w:pPr>
        <w:spacing w:before="120" w:after="240"/>
        <w:jc w:val="right"/>
        <w:rPr>
          <w:b/>
          <w:color w:val="538135" w:themeColor="accent6" w:themeShade="BF"/>
          <w:sz w:val="28"/>
          <w:szCs w:val="28"/>
        </w:rPr>
      </w:pPr>
      <w:r w:rsidRPr="005C046F">
        <w:rPr>
          <w:b/>
          <w:color w:val="538135" w:themeColor="accent6" w:themeShade="BF"/>
          <w:sz w:val="28"/>
          <w:szCs w:val="28"/>
        </w:rPr>
        <w:t>Fiche n°</w:t>
      </w:r>
      <w:r w:rsidR="006D7AEB">
        <w:rPr>
          <w:b/>
          <w:color w:val="538135" w:themeColor="accent6" w:themeShade="BF"/>
          <w:sz w:val="28"/>
          <w:szCs w:val="28"/>
        </w:rPr>
        <w:t>2</w:t>
      </w:r>
    </w:p>
    <w:tbl>
      <w:tblPr>
        <w:tblStyle w:val="Grilledutableau"/>
        <w:tblW w:w="0" w:type="auto"/>
        <w:tblBorders>
          <w:top w:val="double" w:sz="12" w:space="0" w:color="70AD47" w:themeColor="accent6"/>
          <w:left w:val="double" w:sz="12" w:space="0" w:color="70AD47" w:themeColor="accent6"/>
          <w:bottom w:val="double" w:sz="12" w:space="0" w:color="70AD47" w:themeColor="accent6"/>
          <w:right w:val="double" w:sz="12" w:space="0" w:color="70AD47" w:themeColor="accent6"/>
          <w:insideH w:val="none" w:sz="0" w:space="0" w:color="auto"/>
          <w:insideV w:val="none" w:sz="0" w:space="0" w:color="auto"/>
        </w:tblBorders>
        <w:tblLook w:val="04A0" w:firstRow="1" w:lastRow="0" w:firstColumn="1" w:lastColumn="0" w:noHBand="0" w:noVBand="1"/>
      </w:tblPr>
      <w:tblGrid>
        <w:gridCol w:w="8982"/>
      </w:tblGrid>
      <w:tr w:rsidR="005C046F" w14:paraId="3FE49928" w14:textId="77777777" w:rsidTr="00BA0516">
        <w:tc>
          <w:tcPr>
            <w:tcW w:w="8982" w:type="dxa"/>
          </w:tcPr>
          <w:p w14:paraId="2C75D7CD" w14:textId="5E4C8213" w:rsidR="005C046F" w:rsidRDefault="005C046F" w:rsidP="00BA0516">
            <w:pPr>
              <w:spacing w:before="240" w:after="240"/>
              <w:jc w:val="center"/>
            </w:pPr>
            <w:r w:rsidRPr="005C046F">
              <w:rPr>
                <w:b/>
                <w:color w:val="538135" w:themeColor="accent6" w:themeShade="BF"/>
                <w:sz w:val="28"/>
                <w:szCs w:val="28"/>
              </w:rPr>
              <w:t>La préparation aux concours et examens</w:t>
            </w:r>
            <w:r w:rsidR="00520BFF">
              <w:rPr>
                <w:b/>
                <w:color w:val="538135" w:themeColor="accent6" w:themeShade="BF"/>
                <w:sz w:val="28"/>
                <w:szCs w:val="28"/>
              </w:rPr>
              <w:t xml:space="preserve"> professionnels</w:t>
            </w:r>
            <w:r w:rsidRPr="005C046F">
              <w:rPr>
                <w:b/>
                <w:color w:val="538135" w:themeColor="accent6" w:themeShade="BF"/>
                <w:sz w:val="28"/>
                <w:szCs w:val="28"/>
              </w:rPr>
              <w:t xml:space="preserve"> (PEC)</w:t>
            </w:r>
          </w:p>
        </w:tc>
      </w:tr>
    </w:tbl>
    <w:p w14:paraId="421F6547" w14:textId="6158FDD9" w:rsidR="00456D59" w:rsidRDefault="00456D59" w:rsidP="000B0F07">
      <w:pPr>
        <w:spacing w:before="120" w:after="0"/>
      </w:pPr>
    </w:p>
    <w:p w14:paraId="06502001" w14:textId="70430130" w:rsidR="00F035DC" w:rsidRPr="005A162D" w:rsidRDefault="001B56CB" w:rsidP="005C046F">
      <w:pPr>
        <w:spacing w:before="120" w:after="0"/>
        <w:jc w:val="both"/>
        <w:rPr>
          <w:b/>
        </w:rPr>
      </w:pPr>
      <w:r w:rsidRPr="005A162D">
        <w:rPr>
          <w:b/>
        </w:rPr>
        <w:t>L’</w:t>
      </w:r>
      <w:r w:rsidR="00CA0A37" w:rsidRPr="005A162D">
        <w:rPr>
          <w:b/>
        </w:rPr>
        <w:t>accompagne</w:t>
      </w:r>
      <w:r w:rsidRPr="005A162D">
        <w:rPr>
          <w:b/>
        </w:rPr>
        <w:t>ment</w:t>
      </w:r>
      <w:r w:rsidR="00CA0A37" w:rsidRPr="005A162D">
        <w:rPr>
          <w:b/>
        </w:rPr>
        <w:t xml:space="preserve"> </w:t>
      </w:r>
      <w:r w:rsidRPr="005A162D">
        <w:rPr>
          <w:b/>
        </w:rPr>
        <w:t>d</w:t>
      </w:r>
      <w:r w:rsidR="00CA0A37" w:rsidRPr="005A162D">
        <w:rPr>
          <w:b/>
        </w:rPr>
        <w:t xml:space="preserve">es agents dans leur évolution professionnelle </w:t>
      </w:r>
      <w:r w:rsidR="008B0A7B">
        <w:rPr>
          <w:b/>
        </w:rPr>
        <w:t>à</w:t>
      </w:r>
      <w:r w:rsidR="00CA0A37" w:rsidRPr="005A162D">
        <w:rPr>
          <w:b/>
        </w:rPr>
        <w:t xml:space="preserve"> travers la réussite d’un examen professionnel ou d’un concours</w:t>
      </w:r>
      <w:r w:rsidRPr="005A162D">
        <w:rPr>
          <w:b/>
        </w:rPr>
        <w:t xml:space="preserve"> constitue une priorité pour le min</w:t>
      </w:r>
      <w:r w:rsidR="005A162D">
        <w:rPr>
          <w:b/>
        </w:rPr>
        <w:t>istère chargé de l’agriculture.</w:t>
      </w:r>
    </w:p>
    <w:p w14:paraId="65AEABE5" w14:textId="4ABE6C5E" w:rsidR="00CA0A37" w:rsidRDefault="00CA0A37" w:rsidP="005C046F">
      <w:pPr>
        <w:spacing w:before="120" w:after="0"/>
        <w:jc w:val="both"/>
      </w:pPr>
      <w:r>
        <w:t xml:space="preserve">La PEC participe </w:t>
      </w:r>
      <w:r w:rsidR="001B56CB">
        <w:t xml:space="preserve">en effet </w:t>
      </w:r>
      <w:r>
        <w:t>à l’évolution sociale et professionnelle des agents</w:t>
      </w:r>
      <w:r w:rsidR="001B56CB" w:rsidRPr="001B56CB">
        <w:t xml:space="preserve"> </w:t>
      </w:r>
      <w:r w:rsidR="001B56CB">
        <w:t xml:space="preserve">et constitue un facteur de diversification des profils </w:t>
      </w:r>
      <w:r w:rsidR="004912A1">
        <w:t>des</w:t>
      </w:r>
      <w:r w:rsidR="001B56CB">
        <w:t xml:space="preserve"> fonctionnaires en permettant notamment</w:t>
      </w:r>
      <w:r>
        <w:t xml:space="preserve"> aux agents contractuels d’intégrer la fonction publique. </w:t>
      </w:r>
    </w:p>
    <w:p w14:paraId="7E4398E5" w14:textId="1495DC6E" w:rsidR="00456D59" w:rsidRDefault="00F035DC" w:rsidP="005C046F">
      <w:pPr>
        <w:spacing w:before="120" w:after="0"/>
        <w:jc w:val="both"/>
      </w:pPr>
      <w:r>
        <w:t>Elle</w:t>
      </w:r>
      <w:r w:rsidR="003618A9">
        <w:t xml:space="preserve"> a pour but de préparer les </w:t>
      </w:r>
      <w:r w:rsidR="0070753F">
        <w:t>agents publics</w:t>
      </w:r>
      <w:r w:rsidR="00B241D8">
        <w:t xml:space="preserve"> </w:t>
      </w:r>
      <w:r w:rsidR="00C635B5">
        <w:t>aux passages des épreuves de sélection dans l’objectif d’intégrer la fonction publique, d’être</w:t>
      </w:r>
      <w:r w:rsidR="003618A9">
        <w:t xml:space="preserve"> </w:t>
      </w:r>
      <w:r w:rsidR="00520BFF">
        <w:t>promu (changement de grade) ou</w:t>
      </w:r>
      <w:r w:rsidR="00C635B5">
        <w:t xml:space="preserve"> de changer de corps et, le cas échéant, de catégorie</w:t>
      </w:r>
      <w:r w:rsidR="00C834E2">
        <w:t xml:space="preserve">. </w:t>
      </w:r>
    </w:p>
    <w:p w14:paraId="4C214977" w14:textId="77777777" w:rsidR="00CA0A37" w:rsidRDefault="00CA0A37" w:rsidP="005C046F">
      <w:pPr>
        <w:spacing w:before="120" w:after="0"/>
        <w:jc w:val="both"/>
      </w:pPr>
      <w:r>
        <w:t>Ces actions participent ainsi à la construction individuelle des parcours professionnels des agents en leur proposant un accompagnement spécifique adapté à chaque examen ou concours.</w:t>
      </w:r>
    </w:p>
    <w:p w14:paraId="1776FA2F" w14:textId="34485735" w:rsidR="00664278" w:rsidRDefault="001B56CB" w:rsidP="005C046F">
      <w:pPr>
        <w:spacing w:before="120" w:after="0"/>
        <w:jc w:val="both"/>
      </w:pPr>
      <w:r>
        <w:t>Afin de favoriser la réussite aux examens professionnels et concours qu’il organise, l</w:t>
      </w:r>
      <w:r w:rsidR="00664278">
        <w:t xml:space="preserve">e ministère </w:t>
      </w:r>
      <w:r w:rsidR="00C635B5">
        <w:t xml:space="preserve">chargé </w:t>
      </w:r>
      <w:r w:rsidR="00664278">
        <w:t xml:space="preserve">de l’agriculture </w:t>
      </w:r>
      <w:r w:rsidR="00C635B5">
        <w:t>permet</w:t>
      </w:r>
      <w:r w:rsidR="00664278">
        <w:t xml:space="preserve"> à tous les agents de pouvoir se préparer au mieux. </w:t>
      </w:r>
      <w:r w:rsidRPr="008B0A7B">
        <w:rPr>
          <w:b/>
        </w:rPr>
        <w:t>D</w:t>
      </w:r>
      <w:r w:rsidR="00664278" w:rsidRPr="008B0A7B">
        <w:rPr>
          <w:b/>
        </w:rPr>
        <w:t xml:space="preserve">es actions de formation PEC </w:t>
      </w:r>
      <w:r w:rsidRPr="008B0A7B">
        <w:rPr>
          <w:b/>
        </w:rPr>
        <w:t xml:space="preserve">sont donc proposées à </w:t>
      </w:r>
      <w:r w:rsidR="0070753F" w:rsidRPr="008B0A7B">
        <w:rPr>
          <w:b/>
        </w:rPr>
        <w:t>l’ensemble de s</w:t>
      </w:r>
      <w:r w:rsidRPr="008B0A7B">
        <w:rPr>
          <w:b/>
        </w:rPr>
        <w:t>es agents</w:t>
      </w:r>
      <w:r>
        <w:t>, contractuels ou titulaires</w:t>
      </w:r>
      <w:r w:rsidR="00664278">
        <w:t xml:space="preserve">. </w:t>
      </w:r>
    </w:p>
    <w:p w14:paraId="56A600A3" w14:textId="2309665D" w:rsidR="00CA0A37" w:rsidRPr="005C046F" w:rsidRDefault="00CA0A37" w:rsidP="009C32A5">
      <w:pPr>
        <w:pBdr>
          <w:top w:val="single" w:sz="12" w:space="1" w:color="70AD47" w:themeColor="accent6"/>
          <w:left w:val="single" w:sz="12" w:space="4" w:color="70AD47" w:themeColor="accent6"/>
          <w:bottom w:val="single" w:sz="12" w:space="1" w:color="70AD47" w:themeColor="accent6"/>
          <w:right w:val="single" w:sz="12" w:space="4" w:color="70AD47" w:themeColor="accent6"/>
        </w:pBdr>
        <w:spacing w:before="360" w:after="240"/>
        <w:jc w:val="both"/>
        <w:rPr>
          <w:b/>
          <w:color w:val="538135" w:themeColor="accent6" w:themeShade="BF"/>
          <w:sz w:val="24"/>
          <w:szCs w:val="24"/>
        </w:rPr>
      </w:pPr>
      <w:r w:rsidRPr="005C046F">
        <w:rPr>
          <w:b/>
          <w:color w:val="538135" w:themeColor="accent6" w:themeShade="BF"/>
          <w:sz w:val="24"/>
          <w:szCs w:val="24"/>
        </w:rPr>
        <w:t xml:space="preserve">Qui peut mobiliser la préparation aux examens et concours ? </w:t>
      </w:r>
    </w:p>
    <w:p w14:paraId="13223477" w14:textId="7CDFDA32" w:rsidR="00D50555" w:rsidRDefault="00D50555" w:rsidP="005C046F">
      <w:pPr>
        <w:spacing w:before="120" w:after="0"/>
        <w:jc w:val="both"/>
      </w:pPr>
      <w:r>
        <w:t>Les agents publics (titulaires ou contractuels) qui souhaitent se préparer à un concours ou un examen professionnel peuvent suivre une ac</w:t>
      </w:r>
      <w:r w:rsidR="005A162D">
        <w:t>tion de formation PEC organisée ou agréée</w:t>
      </w:r>
      <w:r>
        <w:t xml:space="preserve"> par l’administration.</w:t>
      </w:r>
    </w:p>
    <w:p w14:paraId="224378C6" w14:textId="77777777" w:rsidR="00D50555" w:rsidRDefault="00D50555" w:rsidP="005C046F">
      <w:pPr>
        <w:spacing w:before="120" w:after="0"/>
        <w:jc w:val="both"/>
      </w:pPr>
      <w:r>
        <w:t>Pour cela, ils doivent remplir les conditions requises pour se présenter à ces examens, concours ou sélections.</w:t>
      </w:r>
    </w:p>
    <w:p w14:paraId="117CF89C" w14:textId="0AD78CF2" w:rsidR="00D50555" w:rsidRDefault="00802810" w:rsidP="005C046F">
      <w:pPr>
        <w:spacing w:before="120" w:after="0"/>
        <w:jc w:val="both"/>
      </w:pPr>
      <w:r>
        <w:t>En amont, il</w:t>
      </w:r>
      <w:r w:rsidR="00FC543A">
        <w:t xml:space="preserve"> est</w:t>
      </w:r>
      <w:r>
        <w:t xml:space="preserve"> souhaitable que l</w:t>
      </w:r>
      <w:r w:rsidR="00D50555">
        <w:t>es agents se pose</w:t>
      </w:r>
      <w:r>
        <w:t>nt</w:t>
      </w:r>
      <w:r w:rsidR="00D50555">
        <w:t xml:space="preserve"> deux questions : </w:t>
      </w:r>
    </w:p>
    <w:p w14:paraId="47FE42B2" w14:textId="64C558D7" w:rsidR="00AE4EC5" w:rsidRDefault="00AE4EC5" w:rsidP="001F649D">
      <w:pPr>
        <w:pStyle w:val="Paragraphedeliste"/>
        <w:numPr>
          <w:ilvl w:val="0"/>
          <w:numId w:val="14"/>
        </w:numPr>
        <w:spacing w:before="60" w:after="0"/>
        <w:contextualSpacing w:val="0"/>
        <w:jc w:val="both"/>
      </w:pPr>
      <w:r w:rsidRPr="00520BFF">
        <w:rPr>
          <w:b/>
          <w:color w:val="538135" w:themeColor="accent6" w:themeShade="BF"/>
          <w:sz w:val="24"/>
          <w:szCs w:val="24"/>
        </w:rPr>
        <w:t>Pour faire quoi</w:t>
      </w:r>
      <w:r>
        <w:t> </w:t>
      </w:r>
      <w:r w:rsidRPr="00520BFF">
        <w:rPr>
          <w:b/>
          <w:color w:val="538135" w:themeColor="accent6" w:themeShade="BF"/>
          <w:sz w:val="24"/>
          <w:szCs w:val="24"/>
        </w:rPr>
        <w:t>?</w:t>
      </w:r>
      <w:r>
        <w:t xml:space="preserve"> </w:t>
      </w:r>
      <w:r w:rsidR="001F649D">
        <w:t>Le</w:t>
      </w:r>
      <w:r>
        <w:t xml:space="preserve"> passage d’un concours ou d’un examen s’inscrit dans un projet d’évolution professionnelle. </w:t>
      </w:r>
      <w:r w:rsidR="001F649D">
        <w:t xml:space="preserve">Il convient donc de </w:t>
      </w:r>
      <w:r>
        <w:t>se renseigner sur le</w:t>
      </w:r>
      <w:r w:rsidR="00C635B5">
        <w:t>s</w:t>
      </w:r>
      <w:r>
        <w:t xml:space="preserve"> métier</w:t>
      </w:r>
      <w:r w:rsidR="00C635B5">
        <w:t>s</w:t>
      </w:r>
      <w:r>
        <w:t xml:space="preserve"> et le parcours de carrière envisagés et, en cas de changement de corps ou d’intégration dans la fonction publique, </w:t>
      </w:r>
      <w:r w:rsidR="001F649D">
        <w:t xml:space="preserve">sur </w:t>
      </w:r>
      <w:r>
        <w:t xml:space="preserve">l’impact sur </w:t>
      </w:r>
      <w:r w:rsidR="001F649D">
        <w:t>sa situation statutaire et donc s</w:t>
      </w:r>
      <w:r>
        <w:t>a rémunération</w:t>
      </w:r>
      <w:r w:rsidR="00802810">
        <w:t xml:space="preserve"> en cas de réussite</w:t>
      </w:r>
      <w:r>
        <w:t> ;</w:t>
      </w:r>
    </w:p>
    <w:p w14:paraId="15B9C02C" w14:textId="77777777" w:rsidR="00520BFF" w:rsidRDefault="00D50555" w:rsidP="00A75F43">
      <w:pPr>
        <w:pStyle w:val="Paragraphedeliste"/>
        <w:numPr>
          <w:ilvl w:val="0"/>
          <w:numId w:val="10"/>
        </w:numPr>
        <w:spacing w:before="60" w:after="0"/>
        <w:ind w:left="714" w:hanging="357"/>
        <w:contextualSpacing w:val="0"/>
        <w:jc w:val="both"/>
      </w:pPr>
      <w:r w:rsidRPr="00520BFF">
        <w:rPr>
          <w:b/>
          <w:color w:val="538135" w:themeColor="accent6" w:themeShade="BF"/>
          <w:sz w:val="24"/>
          <w:szCs w:val="24"/>
        </w:rPr>
        <w:t>Quel concour</w:t>
      </w:r>
      <w:r w:rsidR="004912A1" w:rsidRPr="00520BFF">
        <w:rPr>
          <w:b/>
          <w:color w:val="538135" w:themeColor="accent6" w:themeShade="BF"/>
          <w:sz w:val="24"/>
          <w:szCs w:val="24"/>
        </w:rPr>
        <w:t>s</w:t>
      </w:r>
      <w:r w:rsidR="001F649D" w:rsidRPr="00520BFF">
        <w:rPr>
          <w:b/>
          <w:color w:val="538135" w:themeColor="accent6" w:themeShade="BF"/>
          <w:sz w:val="24"/>
          <w:szCs w:val="24"/>
        </w:rPr>
        <w:t xml:space="preserve"> ou examen professionnel</w:t>
      </w:r>
      <w:r w:rsidRPr="00520BFF">
        <w:rPr>
          <w:b/>
          <w:color w:val="538135" w:themeColor="accent6" w:themeShade="BF"/>
          <w:sz w:val="24"/>
          <w:szCs w:val="24"/>
        </w:rPr>
        <w:t> ?</w:t>
      </w:r>
      <w:r>
        <w:t xml:space="preserve"> </w:t>
      </w:r>
      <w:r w:rsidR="001F649D">
        <w:t xml:space="preserve">avant de s’engager dans une préparation, l’agent </w:t>
      </w:r>
      <w:r w:rsidR="00520BFF">
        <w:t xml:space="preserve">doit </w:t>
      </w:r>
      <w:r w:rsidR="001F649D">
        <w:t xml:space="preserve">se renseigner sur les obligations attachées à la réussite du concours ou de l’examen envisagé : </w:t>
      </w:r>
    </w:p>
    <w:p w14:paraId="4213B16F" w14:textId="0AB1D3FB" w:rsidR="00520BFF" w:rsidRDefault="001F649D" w:rsidP="00520BFF">
      <w:pPr>
        <w:pStyle w:val="Paragraphedeliste"/>
        <w:numPr>
          <w:ilvl w:val="1"/>
          <w:numId w:val="10"/>
        </w:numPr>
        <w:spacing w:before="60" w:after="0"/>
        <w:contextualSpacing w:val="0"/>
        <w:jc w:val="both"/>
      </w:pPr>
      <w:proofErr w:type="gramStart"/>
      <w:r>
        <w:t>obligation</w:t>
      </w:r>
      <w:proofErr w:type="gramEnd"/>
      <w:r>
        <w:t xml:space="preserve"> de suivre une formation statutaire initiale </w:t>
      </w:r>
      <w:r w:rsidR="00547900">
        <w:t>dans un lieu déterminé (école) ;</w:t>
      </w:r>
    </w:p>
    <w:p w14:paraId="4FE82B4E" w14:textId="093DBCBB" w:rsidR="00520BFF" w:rsidRDefault="001F649D" w:rsidP="00520BFF">
      <w:pPr>
        <w:pStyle w:val="Paragraphedeliste"/>
        <w:numPr>
          <w:ilvl w:val="1"/>
          <w:numId w:val="10"/>
        </w:numPr>
        <w:spacing w:before="60" w:after="0"/>
        <w:contextualSpacing w:val="0"/>
        <w:jc w:val="both"/>
      </w:pPr>
      <w:proofErr w:type="gramStart"/>
      <w:r>
        <w:t>pério</w:t>
      </w:r>
      <w:r w:rsidR="00547900">
        <w:t>de</w:t>
      </w:r>
      <w:proofErr w:type="gramEnd"/>
      <w:r w:rsidR="00547900">
        <w:t xml:space="preserve"> et durée de cette formation ;</w:t>
      </w:r>
    </w:p>
    <w:p w14:paraId="21B93639" w14:textId="088ACD07" w:rsidR="001F649D" w:rsidRDefault="001F649D" w:rsidP="00520BFF">
      <w:pPr>
        <w:pStyle w:val="Paragraphedeliste"/>
        <w:numPr>
          <w:ilvl w:val="1"/>
          <w:numId w:val="10"/>
        </w:numPr>
        <w:spacing w:before="60" w:after="0"/>
        <w:contextualSpacing w:val="0"/>
        <w:jc w:val="both"/>
      </w:pPr>
      <w:proofErr w:type="gramStart"/>
      <w:r>
        <w:t>obligation</w:t>
      </w:r>
      <w:proofErr w:type="gramEnd"/>
      <w:r>
        <w:t xml:space="preserve"> de mobilité (géographique </w:t>
      </w:r>
      <w:r w:rsidR="00C635B5">
        <w:t>et/</w:t>
      </w:r>
      <w:r>
        <w:t>ou fonctionnelle), sur une liste de postes déterminés (concours) ou dans un délai déterminé (2 ans pour certains examens professionnels).</w:t>
      </w:r>
    </w:p>
    <w:p w14:paraId="324C5F9D" w14:textId="7B680EEF" w:rsidR="00C635B5" w:rsidRDefault="001F649D" w:rsidP="00C635B5">
      <w:pPr>
        <w:spacing w:before="60" w:after="0"/>
        <w:jc w:val="both"/>
      </w:pPr>
      <w:r>
        <w:lastRenderedPageBreak/>
        <w:t xml:space="preserve">L’ensemble des informations relatives aux concours et examens professionnels sont disponibles sur </w:t>
      </w:r>
      <w:r w:rsidR="00C635B5">
        <w:t xml:space="preserve">le site </w:t>
      </w:r>
      <w:r w:rsidR="00802810">
        <w:t>internet « </w:t>
      </w:r>
      <w:r w:rsidR="00520BFF">
        <w:t>c</w:t>
      </w:r>
      <w:r w:rsidR="00C635B5">
        <w:t>oncours et examens professionnels</w:t>
      </w:r>
      <w:r w:rsidR="00802810">
        <w:t> »</w:t>
      </w:r>
      <w:r w:rsidR="00C635B5">
        <w:t xml:space="preserve"> du ministère chargé de l'agriculture</w:t>
      </w:r>
      <w:r w:rsidR="00C635B5">
        <w:rPr>
          <w:rStyle w:val="Appelnotedebasdep"/>
        </w:rPr>
        <w:footnoteReference w:id="1"/>
      </w:r>
      <w:r w:rsidR="00C635B5">
        <w:t>.</w:t>
      </w:r>
    </w:p>
    <w:p w14:paraId="24802F60" w14:textId="77777777" w:rsidR="00802810" w:rsidRDefault="00D50555" w:rsidP="00802810">
      <w:pPr>
        <w:spacing w:before="120" w:after="0"/>
        <w:jc w:val="both"/>
      </w:pPr>
      <w:r>
        <w:t xml:space="preserve">La formation est un moyen d’augmenter ses chances de réussite mais </w:t>
      </w:r>
      <w:r w:rsidR="001F649D">
        <w:t xml:space="preserve">constitue </w:t>
      </w:r>
      <w:r>
        <w:t>également une période d’acquisition de compétences qui sont bénéfiques pour l’agent et pour l’administration. Durant la préparat</w:t>
      </w:r>
      <w:r w:rsidR="00802810">
        <w:t>ion, l’agent fait le point sur ses acquis, acquiert</w:t>
      </w:r>
      <w:r>
        <w:t xml:space="preserve"> et/ou </w:t>
      </w:r>
      <w:r w:rsidR="00802810">
        <w:t>renforce</w:t>
      </w:r>
      <w:r>
        <w:t xml:space="preserve"> sa connaissance des politiques publiques portées par le </w:t>
      </w:r>
      <w:r w:rsidR="00520BFF">
        <w:t>ministère</w:t>
      </w:r>
      <w:r>
        <w:t xml:space="preserve">, de l’organisation administrative ou de sa culture générale administrative et technique. Il conforte </w:t>
      </w:r>
      <w:r w:rsidR="00802810">
        <w:t xml:space="preserve">ainsi </w:t>
      </w:r>
      <w:r>
        <w:t>son socle de</w:t>
      </w:r>
      <w:r w:rsidR="00520BFF">
        <w:t xml:space="preserve"> </w:t>
      </w:r>
      <w:r w:rsidR="001F649D">
        <w:t>connaissances</w:t>
      </w:r>
      <w:r>
        <w:t xml:space="preserve">. </w:t>
      </w:r>
    </w:p>
    <w:p w14:paraId="216C8FE8" w14:textId="64A630EB" w:rsidR="00D50555" w:rsidRDefault="00802810" w:rsidP="005C046F">
      <w:pPr>
        <w:spacing w:before="120" w:after="0"/>
        <w:jc w:val="both"/>
      </w:pPr>
      <w:r w:rsidRPr="00802810">
        <w:rPr>
          <w:b/>
        </w:rPr>
        <w:t xml:space="preserve">La préparation d’un concours ou d’un examen professionnel demande un investissement pour l’agent mais également pour la structure de l’agent. </w:t>
      </w:r>
      <w:r>
        <w:rPr>
          <w:b/>
        </w:rPr>
        <w:t>I</w:t>
      </w:r>
      <w:r w:rsidRPr="00802810">
        <w:rPr>
          <w:b/>
        </w:rPr>
        <w:t xml:space="preserve">l est nécessaire de permettre à l’agent d’avoir le temps nécessaire pour se préparer. </w:t>
      </w:r>
      <w:r w:rsidR="00D50555" w:rsidRPr="00802810">
        <w:rPr>
          <w:b/>
        </w:rPr>
        <w:t>La préparation n’est jamais du temps perdu</w:t>
      </w:r>
      <w:r w:rsidR="00520BFF" w:rsidRPr="00802810">
        <w:rPr>
          <w:b/>
        </w:rPr>
        <w:t xml:space="preserve"> </w:t>
      </w:r>
      <w:r w:rsidR="00D50555" w:rsidRPr="00802810">
        <w:rPr>
          <w:b/>
        </w:rPr>
        <w:t>est doit être valorisée</w:t>
      </w:r>
      <w:r w:rsidR="001F649D" w:rsidRPr="00802810">
        <w:rPr>
          <w:b/>
        </w:rPr>
        <w:t>, même en cas d’absence de réussite</w:t>
      </w:r>
      <w:r w:rsidR="00D50555" w:rsidRPr="00802810">
        <w:rPr>
          <w:b/>
        </w:rPr>
        <w:t xml:space="preserve">.  </w:t>
      </w:r>
    </w:p>
    <w:p w14:paraId="2C10FEBD" w14:textId="6D2798E5" w:rsidR="00D50555" w:rsidRPr="00A75F43" w:rsidRDefault="00D50555" w:rsidP="00A75F43">
      <w:pPr>
        <w:pBdr>
          <w:top w:val="single" w:sz="12" w:space="1" w:color="70AD47" w:themeColor="accent6"/>
          <w:left w:val="single" w:sz="12" w:space="4" w:color="70AD47" w:themeColor="accent6"/>
          <w:bottom w:val="single" w:sz="12" w:space="1" w:color="70AD47" w:themeColor="accent6"/>
          <w:right w:val="single" w:sz="12" w:space="4" w:color="70AD47" w:themeColor="accent6"/>
        </w:pBdr>
        <w:spacing w:before="360" w:after="240"/>
        <w:jc w:val="both"/>
        <w:rPr>
          <w:b/>
          <w:color w:val="538135" w:themeColor="accent6" w:themeShade="BF"/>
          <w:sz w:val="24"/>
          <w:szCs w:val="24"/>
        </w:rPr>
      </w:pPr>
      <w:r w:rsidRPr="00A75F43">
        <w:rPr>
          <w:b/>
          <w:color w:val="538135" w:themeColor="accent6" w:themeShade="BF"/>
          <w:sz w:val="24"/>
          <w:szCs w:val="24"/>
        </w:rPr>
        <w:t>En quoi consiste la préparation à un examen professionnel ou en concours ?</w:t>
      </w:r>
    </w:p>
    <w:p w14:paraId="29813993" w14:textId="58618B79" w:rsidR="00D1394D" w:rsidRDefault="001F649D" w:rsidP="005C046F">
      <w:pPr>
        <w:spacing w:before="120" w:after="0"/>
        <w:jc w:val="both"/>
      </w:pPr>
      <w:r>
        <w:t>Une</w:t>
      </w:r>
      <w:r w:rsidR="00D1394D">
        <w:t xml:space="preserve"> préparation aux examens professionnel</w:t>
      </w:r>
      <w:r w:rsidR="00802810">
        <w:t>s</w:t>
      </w:r>
      <w:r w:rsidR="00D1394D">
        <w:t xml:space="preserve"> et concours (PEC)</w:t>
      </w:r>
      <w:r>
        <w:t xml:space="preserve"> comporte à la fois des actions de formation et du </w:t>
      </w:r>
      <w:r w:rsidR="00D1394D">
        <w:t xml:space="preserve">travail personnel. </w:t>
      </w:r>
    </w:p>
    <w:p w14:paraId="313076E7" w14:textId="77777777" w:rsidR="00D05BB0" w:rsidRDefault="00D05BB0" w:rsidP="005C046F">
      <w:pPr>
        <w:spacing w:before="120" w:after="0"/>
        <w:jc w:val="both"/>
      </w:pPr>
    </w:p>
    <w:p w14:paraId="27680912" w14:textId="38BCCC5F" w:rsidR="00D1394D" w:rsidRPr="00520BFF" w:rsidRDefault="00D1394D" w:rsidP="005C046F">
      <w:pPr>
        <w:pStyle w:val="Paragraphedeliste"/>
        <w:numPr>
          <w:ilvl w:val="1"/>
          <w:numId w:val="11"/>
        </w:numPr>
        <w:spacing w:before="120" w:after="0"/>
        <w:contextualSpacing w:val="0"/>
        <w:jc w:val="both"/>
        <w:rPr>
          <w:b/>
          <w:color w:val="538135" w:themeColor="accent6" w:themeShade="BF"/>
          <w:sz w:val="24"/>
          <w:szCs w:val="24"/>
        </w:rPr>
      </w:pPr>
      <w:r w:rsidRPr="00520BFF">
        <w:rPr>
          <w:b/>
          <w:color w:val="538135" w:themeColor="accent6" w:themeShade="BF"/>
          <w:sz w:val="24"/>
          <w:szCs w:val="24"/>
        </w:rPr>
        <w:t xml:space="preserve">La PEC : </w:t>
      </w:r>
      <w:r w:rsidR="00802810">
        <w:rPr>
          <w:b/>
          <w:color w:val="538135" w:themeColor="accent6" w:themeShade="BF"/>
          <w:sz w:val="24"/>
          <w:szCs w:val="24"/>
        </w:rPr>
        <w:t xml:space="preserve"> des </w:t>
      </w:r>
      <w:r w:rsidRPr="00520BFF">
        <w:rPr>
          <w:b/>
          <w:color w:val="538135" w:themeColor="accent6" w:themeShade="BF"/>
          <w:sz w:val="24"/>
          <w:szCs w:val="24"/>
        </w:rPr>
        <w:t>action</w:t>
      </w:r>
      <w:r w:rsidR="009506BF">
        <w:rPr>
          <w:b/>
          <w:color w:val="538135" w:themeColor="accent6" w:themeShade="BF"/>
          <w:sz w:val="24"/>
          <w:szCs w:val="24"/>
        </w:rPr>
        <w:t>s</w:t>
      </w:r>
      <w:r w:rsidRPr="00520BFF">
        <w:rPr>
          <w:b/>
          <w:color w:val="538135" w:themeColor="accent6" w:themeShade="BF"/>
          <w:sz w:val="24"/>
          <w:szCs w:val="24"/>
        </w:rPr>
        <w:t xml:space="preserve"> de formation</w:t>
      </w:r>
      <w:r w:rsidR="00802810">
        <w:rPr>
          <w:b/>
          <w:color w:val="538135" w:themeColor="accent6" w:themeShade="BF"/>
          <w:sz w:val="24"/>
          <w:szCs w:val="24"/>
        </w:rPr>
        <w:t xml:space="preserve"> d’une durée maximale de 5 jours</w:t>
      </w:r>
    </w:p>
    <w:p w14:paraId="5D30B820" w14:textId="08E20F55" w:rsidR="00D1394D" w:rsidRDefault="00D1394D" w:rsidP="005C046F">
      <w:pPr>
        <w:spacing w:before="120" w:after="0"/>
        <w:jc w:val="both"/>
      </w:pPr>
      <w:r>
        <w:t>L’action de formation permettra aux candidats de comprendre les attendus des épreuves, acquérir la méthodologie, disposer de conseils de préparation et réaliser des exercices en conditions réelles. Les actions de formation permettent à l’agent de se projeter dans l’examen ou concours et dans sa future catégorie d’emploi ou nouveau corps</w:t>
      </w:r>
      <w:r w:rsidR="00802810">
        <w:t>, grade</w:t>
      </w:r>
      <w:r>
        <w:t>.</w:t>
      </w:r>
    </w:p>
    <w:p w14:paraId="3114937F" w14:textId="30D09547" w:rsidR="00D1394D" w:rsidRDefault="00D1394D" w:rsidP="005C046F">
      <w:pPr>
        <w:spacing w:before="120" w:after="0"/>
        <w:jc w:val="both"/>
      </w:pPr>
      <w:r>
        <w:t xml:space="preserve">Dans la mesure du possible, la PEC porte sur les épreuves écrites </w:t>
      </w:r>
      <w:r w:rsidR="00FC543A">
        <w:t>ainsi que</w:t>
      </w:r>
      <w:r>
        <w:t xml:space="preserve"> sur les épreuves orales. Pour appréhender au mieux l’exercice, il est souhaitable d’organiser des écrits </w:t>
      </w:r>
      <w:r w:rsidR="00802810">
        <w:t xml:space="preserve">et des oraux </w:t>
      </w:r>
      <w:r>
        <w:t>blancs.</w:t>
      </w:r>
    </w:p>
    <w:p w14:paraId="7D6B29E1" w14:textId="50736697" w:rsidR="00D1394D" w:rsidRDefault="00D1394D" w:rsidP="005C046F">
      <w:pPr>
        <w:spacing w:before="120" w:after="0"/>
        <w:jc w:val="both"/>
      </w:pPr>
      <w:r>
        <w:t xml:space="preserve">Afin d’accompagner les agents, le </w:t>
      </w:r>
      <w:r w:rsidR="00520BFF">
        <w:t>ministère</w:t>
      </w:r>
      <w:r>
        <w:t xml:space="preserve"> propose une offre de formation PEC </w:t>
      </w:r>
      <w:r w:rsidR="00520BFF">
        <w:t xml:space="preserve">tout au long de l’année </w:t>
      </w:r>
      <w:r>
        <w:t xml:space="preserve">qui est portée par différents acteurs. Les calendriers de formation sont construits au regard de ceux des examens et concours organisés par le ministère chargé de l’agriculture. La visibilité de l’information relative à l’ouverture des formations est donc essentielle. </w:t>
      </w:r>
    </w:p>
    <w:p w14:paraId="1332862A" w14:textId="207E0C15" w:rsidR="00D1394D" w:rsidRDefault="008604F8" w:rsidP="005C046F">
      <w:pPr>
        <w:spacing w:before="120" w:after="0"/>
        <w:jc w:val="both"/>
      </w:pPr>
      <w:r>
        <w:t>Ainsi</w:t>
      </w:r>
      <w:r w:rsidR="00D1394D">
        <w:t xml:space="preserve">, la note de service d’ouverture du concours ou de l’examen professionnel informe les agents de l’offre de formation PEC </w:t>
      </w:r>
      <w:r>
        <w:t>assoc</w:t>
      </w:r>
      <w:r w:rsidR="00547900">
        <w:t>i</w:t>
      </w:r>
      <w:r>
        <w:t>ée</w:t>
      </w:r>
      <w:r w:rsidR="00D1394D">
        <w:t xml:space="preserve">. Le cas échéant, une note de service spécifique vient préciser le contenu de cette offre de formation PEC qui peut être proposée par :  </w:t>
      </w:r>
    </w:p>
    <w:p w14:paraId="1451C29E" w14:textId="47656640" w:rsidR="00D1394D" w:rsidRDefault="008B0A7B" w:rsidP="008604F8">
      <w:pPr>
        <w:pStyle w:val="Paragraphedeliste"/>
        <w:numPr>
          <w:ilvl w:val="0"/>
          <w:numId w:val="3"/>
        </w:numPr>
        <w:spacing w:before="60" w:after="0"/>
        <w:ind w:left="714" w:hanging="357"/>
        <w:contextualSpacing w:val="0"/>
        <w:jc w:val="both"/>
      </w:pPr>
      <w:proofErr w:type="gramStart"/>
      <w:r>
        <w:t>l</w:t>
      </w:r>
      <w:r w:rsidR="00D1394D">
        <w:t>es</w:t>
      </w:r>
      <w:proofErr w:type="gramEnd"/>
      <w:r w:rsidR="00D1394D">
        <w:t xml:space="preserve"> délégués régionaux à la formation continue </w:t>
      </w:r>
      <w:r>
        <w:t xml:space="preserve">(DRFC) </w:t>
      </w:r>
      <w:r w:rsidR="00D1394D">
        <w:t>;</w:t>
      </w:r>
    </w:p>
    <w:p w14:paraId="1FA3D435" w14:textId="08E58CB9" w:rsidR="00D1394D" w:rsidRDefault="008B0A7B" w:rsidP="008604F8">
      <w:pPr>
        <w:pStyle w:val="Paragraphedeliste"/>
        <w:numPr>
          <w:ilvl w:val="0"/>
          <w:numId w:val="3"/>
        </w:numPr>
        <w:spacing w:before="60" w:after="0"/>
        <w:ind w:left="714" w:hanging="357"/>
        <w:contextualSpacing w:val="0"/>
        <w:jc w:val="both"/>
      </w:pPr>
      <w:proofErr w:type="gramStart"/>
      <w:r>
        <w:t>l</w:t>
      </w:r>
      <w:r w:rsidR="00D1394D">
        <w:t>e</w:t>
      </w:r>
      <w:proofErr w:type="gramEnd"/>
      <w:r w:rsidR="00D1394D">
        <w:t xml:space="preserve"> bureau de la formation continue et du développement des compétences </w:t>
      </w:r>
      <w:r>
        <w:t>(BFCDC)</w:t>
      </w:r>
      <w:r w:rsidR="00D1394D">
        <w:t>;</w:t>
      </w:r>
    </w:p>
    <w:p w14:paraId="6B10C08E" w14:textId="734C17D6" w:rsidR="00D1394D" w:rsidRDefault="008B0A7B" w:rsidP="008604F8">
      <w:pPr>
        <w:pStyle w:val="Paragraphedeliste"/>
        <w:numPr>
          <w:ilvl w:val="0"/>
          <w:numId w:val="3"/>
        </w:numPr>
        <w:spacing w:before="60" w:after="0"/>
        <w:ind w:left="714" w:hanging="357"/>
        <w:contextualSpacing w:val="0"/>
        <w:jc w:val="both"/>
      </w:pPr>
      <w:proofErr w:type="gramStart"/>
      <w:r>
        <w:t>l</w:t>
      </w:r>
      <w:r w:rsidR="00D1394D">
        <w:t>es</w:t>
      </w:r>
      <w:proofErr w:type="gramEnd"/>
      <w:r w:rsidR="00D1394D">
        <w:t xml:space="preserve"> écoles ou l’INFOMA</w:t>
      </w:r>
      <w:r>
        <w:t xml:space="preserve"> (Institut national de formation des personnels du ministère de l’Agriculture)</w:t>
      </w:r>
      <w:r w:rsidR="00D1394D">
        <w:t>.</w:t>
      </w:r>
    </w:p>
    <w:p w14:paraId="781E5B8A" w14:textId="77777777" w:rsidR="00D05BB0" w:rsidRDefault="00D05BB0" w:rsidP="00D05BB0">
      <w:pPr>
        <w:spacing w:before="120" w:after="0"/>
        <w:jc w:val="both"/>
      </w:pPr>
      <w:r>
        <w:t xml:space="preserve">L’offre de formation de préparation aux concours et examens professionnels organisés par le ministère chargé de l’agriculture est disponible sur le site </w:t>
      </w:r>
      <w:proofErr w:type="spellStart"/>
      <w:r>
        <w:t>FormCo</w:t>
      </w:r>
      <w:proofErr w:type="spellEnd"/>
      <w:r>
        <w:rPr>
          <w:rStyle w:val="Appelnotedebasdep"/>
        </w:rPr>
        <w:footnoteReference w:id="2"/>
      </w:r>
      <w:r>
        <w:t>.</w:t>
      </w:r>
    </w:p>
    <w:p w14:paraId="41481E32" w14:textId="5240A174" w:rsidR="001C2C3B" w:rsidRDefault="00D05BB0" w:rsidP="005C046F">
      <w:pPr>
        <w:spacing w:before="120" w:after="0"/>
        <w:jc w:val="both"/>
      </w:pPr>
      <w:r>
        <w:lastRenderedPageBreak/>
        <w:t>Il est à noter que l</w:t>
      </w:r>
      <w:r w:rsidRPr="00D05BB0">
        <w:t>es organismes de formation de l’UNREP</w:t>
      </w:r>
      <w:r>
        <w:rPr>
          <w:rStyle w:val="Appelnotedebasdep"/>
        </w:rPr>
        <w:footnoteReference w:id="3"/>
      </w:r>
      <w:r w:rsidRPr="00D05BB0">
        <w:t xml:space="preserve"> et de l’IFEAP</w:t>
      </w:r>
      <w:r>
        <w:rPr>
          <w:rStyle w:val="Appelnotedebasdep"/>
        </w:rPr>
        <w:footnoteReference w:id="4"/>
      </w:r>
      <w:r w:rsidRPr="00D05BB0">
        <w:t xml:space="preserve"> (pour le CNEAP</w:t>
      </w:r>
      <w:r>
        <w:rPr>
          <w:rStyle w:val="Appelnotedebasdep"/>
        </w:rPr>
        <w:footnoteReference w:id="5"/>
      </w:r>
      <w:r w:rsidRPr="00D05BB0">
        <w:t xml:space="preserve">) sont en charge de </w:t>
      </w:r>
      <w:r>
        <w:t xml:space="preserve">la </w:t>
      </w:r>
      <w:r w:rsidRPr="00D05BB0">
        <w:t>préparation aux concours d’enseignant pour les enseignants de droit public du ministère chargé de l’agriculture affectés en établissement d’enseignement agricole privé sous contrat avec l’État relevant de l’article L.813-8 du Code rural et de la pêche maritime</w:t>
      </w:r>
      <w:r>
        <w:t xml:space="preserve">. Leur </w:t>
      </w:r>
      <w:r w:rsidR="001C2C3B" w:rsidRPr="001C2C3B">
        <w:t xml:space="preserve">offre de formation </w:t>
      </w:r>
      <w:r w:rsidR="00310550">
        <w:t xml:space="preserve">est disponible sur les sites suivants : </w:t>
      </w:r>
    </w:p>
    <w:p w14:paraId="25E883AF" w14:textId="77777777" w:rsidR="00310550" w:rsidRDefault="00310550" w:rsidP="00310550">
      <w:pPr>
        <w:pStyle w:val="Paragraphedeliste"/>
        <w:numPr>
          <w:ilvl w:val="0"/>
          <w:numId w:val="20"/>
        </w:numPr>
        <w:jc w:val="both"/>
      </w:pPr>
      <w:r>
        <w:t>Pour les enseignants de droit public affectés dans un</w:t>
      </w:r>
      <w:r w:rsidRPr="00833179">
        <w:t xml:space="preserve"> établissement</w:t>
      </w:r>
      <w:r>
        <w:t xml:space="preserve"> affilié</w:t>
      </w:r>
      <w:r w:rsidRPr="00833179">
        <w:t xml:space="preserve"> au conseil nationale de l’enseignement agricole privé (CNEAP),</w:t>
      </w:r>
      <w:r>
        <w:t xml:space="preserve"> l’offre est disponible sur </w:t>
      </w:r>
      <w:hyperlink r:id="rId8" w:history="1">
        <w:r w:rsidRPr="0073396C">
          <w:rPr>
            <w:rStyle w:val="Lienhypertexte"/>
          </w:rPr>
          <w:t>https://www.ifeap.fr</w:t>
        </w:r>
      </w:hyperlink>
      <w:r>
        <w:t xml:space="preserve">. </w:t>
      </w:r>
    </w:p>
    <w:p w14:paraId="07E96012" w14:textId="3ED41EC9" w:rsidR="00310550" w:rsidRDefault="00310550" w:rsidP="00D05BB0">
      <w:pPr>
        <w:pStyle w:val="Paragraphedeliste"/>
        <w:numPr>
          <w:ilvl w:val="0"/>
          <w:numId w:val="20"/>
        </w:numPr>
        <w:jc w:val="both"/>
      </w:pPr>
      <w:r>
        <w:t xml:space="preserve">Pour </w:t>
      </w:r>
      <w:r w:rsidRPr="00833179">
        <w:t xml:space="preserve">les enseignants </w:t>
      </w:r>
      <w:r>
        <w:t xml:space="preserve">de droit public </w:t>
      </w:r>
      <w:r w:rsidRPr="00833179">
        <w:t xml:space="preserve">affectés dans </w:t>
      </w:r>
      <w:r>
        <w:t>un</w:t>
      </w:r>
      <w:r w:rsidRPr="00833179">
        <w:t xml:space="preserve"> établissement affilié </w:t>
      </w:r>
      <w:r>
        <w:t>à l’Union nationale rurale d’éducation et de promotion</w:t>
      </w:r>
      <w:r w:rsidRPr="00833179">
        <w:t xml:space="preserve"> (</w:t>
      </w:r>
      <w:r>
        <w:t>UNREP</w:t>
      </w:r>
      <w:r w:rsidRPr="00833179">
        <w:t>), l’offre est disponible sur</w:t>
      </w:r>
      <w:r w:rsidRPr="005317CD">
        <w:t xml:space="preserve"> </w:t>
      </w:r>
      <w:r>
        <w:t xml:space="preserve"> </w:t>
      </w:r>
      <w:hyperlink r:id="rId9" w:history="1">
        <w:r w:rsidRPr="0073396C">
          <w:rPr>
            <w:rStyle w:val="Lienhypertexte"/>
          </w:rPr>
          <w:t>https://www.maformationagricole.com</w:t>
        </w:r>
      </w:hyperlink>
      <w:r>
        <w:t xml:space="preserve"> </w:t>
      </w:r>
    </w:p>
    <w:p w14:paraId="603F3FCE" w14:textId="6D3068DC" w:rsidR="00D1394D" w:rsidRDefault="00D1394D" w:rsidP="004F109A">
      <w:pPr>
        <w:spacing w:before="120" w:after="0"/>
        <w:jc w:val="both"/>
      </w:pPr>
      <w:r>
        <w:t xml:space="preserve">Pour la préparation aux concours et examens professionnels, organisés par d’autres </w:t>
      </w:r>
      <w:r w:rsidR="008604F8">
        <w:t xml:space="preserve">structures </w:t>
      </w:r>
      <w:r>
        <w:t>publiques, l’offre de formation peut être proposée en interministériel</w:t>
      </w:r>
      <w:r w:rsidR="008604F8">
        <w:t xml:space="preserve"> (</w:t>
      </w:r>
      <w:r>
        <w:t xml:space="preserve">disponible sur </w:t>
      </w:r>
      <w:proofErr w:type="spellStart"/>
      <w:r>
        <w:t>Safire</w:t>
      </w:r>
      <w:proofErr w:type="spellEnd"/>
      <w:r>
        <w:rPr>
          <w:rStyle w:val="Appelnotedebasdep"/>
        </w:rPr>
        <w:footnoteReference w:id="6"/>
      </w:r>
      <w:r w:rsidR="008604F8">
        <w:t>)</w:t>
      </w:r>
      <w:r w:rsidR="00310550">
        <w:t xml:space="preserve"> et peuvent également être proposée par le ministère chargé de l’agriculture (disponible sur </w:t>
      </w:r>
      <w:proofErr w:type="spellStart"/>
      <w:r w:rsidR="00310550">
        <w:t>FormCo</w:t>
      </w:r>
      <w:proofErr w:type="spellEnd"/>
      <w:r w:rsidR="00310550">
        <w:t>).</w:t>
      </w:r>
      <w:r w:rsidR="008604F8">
        <w:t xml:space="preserve"> </w:t>
      </w:r>
    </w:p>
    <w:p w14:paraId="61C75B72" w14:textId="77777777" w:rsidR="009506BF" w:rsidRDefault="009506BF" w:rsidP="004F109A">
      <w:pPr>
        <w:spacing w:before="120" w:after="0"/>
        <w:jc w:val="both"/>
      </w:pPr>
    </w:p>
    <w:p w14:paraId="6EBEC354" w14:textId="176E100F" w:rsidR="009506BF" w:rsidRDefault="00802810" w:rsidP="000F13F9">
      <w:pPr>
        <w:pStyle w:val="Paragraphedeliste"/>
        <w:numPr>
          <w:ilvl w:val="1"/>
          <w:numId w:val="11"/>
        </w:numPr>
        <w:spacing w:before="120" w:after="0"/>
        <w:contextualSpacing w:val="0"/>
        <w:jc w:val="both"/>
        <w:rPr>
          <w:b/>
          <w:color w:val="538135" w:themeColor="accent6" w:themeShade="BF"/>
          <w:sz w:val="24"/>
          <w:szCs w:val="24"/>
        </w:rPr>
      </w:pPr>
      <w:r>
        <w:rPr>
          <w:b/>
          <w:color w:val="538135" w:themeColor="accent6" w:themeShade="BF"/>
          <w:sz w:val="24"/>
          <w:szCs w:val="24"/>
        </w:rPr>
        <w:t xml:space="preserve">Les actions </w:t>
      </w:r>
      <w:r w:rsidR="00A27555">
        <w:rPr>
          <w:b/>
          <w:color w:val="538135" w:themeColor="accent6" w:themeShade="BF"/>
          <w:sz w:val="24"/>
          <w:szCs w:val="24"/>
        </w:rPr>
        <w:t xml:space="preserve">longues </w:t>
      </w:r>
      <w:r>
        <w:rPr>
          <w:b/>
          <w:color w:val="538135" w:themeColor="accent6" w:themeShade="BF"/>
          <w:sz w:val="24"/>
          <w:szCs w:val="24"/>
        </w:rPr>
        <w:t xml:space="preserve">de formation </w:t>
      </w:r>
      <w:r w:rsidR="009506BF">
        <w:rPr>
          <w:b/>
          <w:color w:val="538135" w:themeColor="accent6" w:themeShade="BF"/>
          <w:sz w:val="24"/>
          <w:szCs w:val="24"/>
        </w:rPr>
        <w:t>via le compte personnel de formation (au-delà de 5 jours)</w:t>
      </w:r>
    </w:p>
    <w:p w14:paraId="4E9C4F79" w14:textId="3D9E410A" w:rsidR="009506BF" w:rsidRDefault="009506BF" w:rsidP="009506BF">
      <w:pPr>
        <w:spacing w:before="120" w:after="0"/>
        <w:jc w:val="both"/>
      </w:pPr>
      <w:r>
        <w:t>S’il n’existe pas de formation</w:t>
      </w:r>
      <w:r w:rsidR="00A27555">
        <w:t>s</w:t>
      </w:r>
      <w:r>
        <w:t xml:space="preserve"> spécifique</w:t>
      </w:r>
      <w:r w:rsidR="00A27555">
        <w:t>s</w:t>
      </w:r>
      <w:r>
        <w:t xml:space="preserve"> organisée</w:t>
      </w:r>
      <w:r w:rsidR="00A27555">
        <w:t>s</w:t>
      </w:r>
      <w:r>
        <w:t xml:space="preserve"> par le ministère ou au niveau interministériel, l’agent peut mobiliser son compte personnel de formation</w:t>
      </w:r>
      <w:r>
        <w:rPr>
          <w:rStyle w:val="Appelnotedebasdep"/>
        </w:rPr>
        <w:footnoteReference w:id="7"/>
      </w:r>
      <w:r>
        <w:t xml:space="preserve"> </w:t>
      </w:r>
      <w:r w:rsidR="008B0A7B">
        <w:t xml:space="preserve">(CPF) </w:t>
      </w:r>
      <w:r>
        <w:t xml:space="preserve">pour avoir recours à un autre organisme de formation ou suivre des actions de formation au-delà de 5 jours. </w:t>
      </w:r>
    </w:p>
    <w:p w14:paraId="7B31F5DE" w14:textId="77777777" w:rsidR="00D05BB0" w:rsidRDefault="00D05BB0" w:rsidP="009506BF">
      <w:pPr>
        <w:spacing w:before="120" w:after="0"/>
        <w:jc w:val="both"/>
      </w:pPr>
      <w:bookmarkStart w:id="0" w:name="_GoBack"/>
      <w:bookmarkEnd w:id="0"/>
    </w:p>
    <w:p w14:paraId="3F190444" w14:textId="1FDCA550" w:rsidR="00D1394D" w:rsidRPr="000F13F9" w:rsidRDefault="00D1394D" w:rsidP="000F13F9">
      <w:pPr>
        <w:pStyle w:val="Paragraphedeliste"/>
        <w:numPr>
          <w:ilvl w:val="1"/>
          <w:numId w:val="11"/>
        </w:numPr>
        <w:spacing w:before="120" w:after="0"/>
        <w:contextualSpacing w:val="0"/>
        <w:jc w:val="both"/>
        <w:rPr>
          <w:b/>
          <w:color w:val="538135" w:themeColor="accent6" w:themeShade="BF"/>
          <w:sz w:val="24"/>
          <w:szCs w:val="24"/>
        </w:rPr>
      </w:pPr>
      <w:r w:rsidRPr="000F13F9">
        <w:rPr>
          <w:b/>
          <w:color w:val="538135" w:themeColor="accent6" w:themeShade="BF"/>
          <w:sz w:val="24"/>
          <w:szCs w:val="24"/>
        </w:rPr>
        <w:t>La préparation personnelle</w:t>
      </w:r>
    </w:p>
    <w:p w14:paraId="3DC573E7" w14:textId="580DAC25" w:rsidR="00D1394D" w:rsidRDefault="00FC543A" w:rsidP="005C046F">
      <w:pPr>
        <w:spacing w:before="120" w:after="0"/>
        <w:jc w:val="both"/>
      </w:pPr>
      <w:r>
        <w:t>Afin d’accroî</w:t>
      </w:r>
      <w:r w:rsidR="008604F8">
        <w:t>tre ses chances de réussite, u</w:t>
      </w:r>
      <w:r w:rsidR="00D1394D">
        <w:t>n temps personnel de préparation, complémentaire aux actions de formation, d’une intensité variable, peut être nécessaire pour</w:t>
      </w:r>
      <w:r w:rsidR="008604F8">
        <w:t xml:space="preserve"> les candidats </w:t>
      </w:r>
      <w:r w:rsidR="00A27555">
        <w:t xml:space="preserve">pour </w:t>
      </w:r>
      <w:r w:rsidR="00D1394D">
        <w:t xml:space="preserve">acquérir les connaissances et compétences </w:t>
      </w:r>
      <w:r w:rsidR="00A27555">
        <w:t xml:space="preserve">complémentaires </w:t>
      </w:r>
      <w:r w:rsidR="00D1394D">
        <w:t xml:space="preserve">ou rédiger les éléments du dossier de candidature tel que la reconnaissance des acquis de l’expérience professionnelle (RAEP). </w:t>
      </w:r>
    </w:p>
    <w:p w14:paraId="01948839" w14:textId="77777777" w:rsidR="00A27555" w:rsidRDefault="00D1394D" w:rsidP="005C046F">
      <w:pPr>
        <w:spacing w:before="120" w:after="0"/>
        <w:jc w:val="both"/>
      </w:pPr>
      <w:r>
        <w:t>Par ailleurs, il est nécessaire de prendre connaissances des bilans, rapports et attendus des jurys des années antérieures, ainsi que des annales</w:t>
      </w:r>
      <w:r w:rsidR="00A27555">
        <w:t xml:space="preserve"> des sujets</w:t>
      </w:r>
      <w:r>
        <w:t xml:space="preserve">. </w:t>
      </w:r>
    </w:p>
    <w:p w14:paraId="19F7CA8A" w14:textId="424F91AE" w:rsidR="00D1394D" w:rsidRPr="00A27555" w:rsidRDefault="00D1394D" w:rsidP="005C046F">
      <w:pPr>
        <w:spacing w:before="120" w:after="0"/>
        <w:jc w:val="both"/>
      </w:pPr>
      <w:r w:rsidRPr="00A27555">
        <w:t>Toutes ces informations sont disponibles sur le site concours agriculture</w:t>
      </w:r>
      <w:r w:rsidRPr="00A27555">
        <w:rPr>
          <w:rStyle w:val="Appelnotedebasdep"/>
        </w:rPr>
        <w:footnoteReference w:id="8"/>
      </w:r>
      <w:r w:rsidRPr="00A27555">
        <w:t xml:space="preserve">. </w:t>
      </w:r>
    </w:p>
    <w:p w14:paraId="6B99ECF7" w14:textId="7755CC69" w:rsidR="0003409B" w:rsidRPr="00E86190" w:rsidRDefault="008604F8" w:rsidP="00E86190">
      <w:pPr>
        <w:pBdr>
          <w:top w:val="single" w:sz="12" w:space="1" w:color="70AD47" w:themeColor="accent6"/>
          <w:left w:val="single" w:sz="12" w:space="4" w:color="70AD47" w:themeColor="accent6"/>
          <w:bottom w:val="single" w:sz="12" w:space="1" w:color="70AD47" w:themeColor="accent6"/>
          <w:right w:val="single" w:sz="12" w:space="4" w:color="70AD47" w:themeColor="accent6"/>
        </w:pBdr>
        <w:spacing w:before="360" w:after="240"/>
        <w:jc w:val="both"/>
        <w:rPr>
          <w:b/>
          <w:color w:val="538135" w:themeColor="accent6" w:themeShade="BF"/>
          <w:sz w:val="24"/>
          <w:szCs w:val="24"/>
        </w:rPr>
      </w:pPr>
      <w:r>
        <w:rPr>
          <w:b/>
          <w:color w:val="538135" w:themeColor="accent6" w:themeShade="BF"/>
          <w:sz w:val="24"/>
          <w:szCs w:val="24"/>
        </w:rPr>
        <w:t xml:space="preserve">Comment </w:t>
      </w:r>
      <w:r w:rsidR="00D1394D" w:rsidRPr="008604F8">
        <w:rPr>
          <w:b/>
          <w:color w:val="538135" w:themeColor="accent6" w:themeShade="BF"/>
          <w:sz w:val="24"/>
          <w:szCs w:val="24"/>
        </w:rPr>
        <w:t>mobiliser</w:t>
      </w:r>
      <w:r w:rsidR="004F109A">
        <w:rPr>
          <w:b/>
          <w:color w:val="538135" w:themeColor="accent6" w:themeShade="BF"/>
          <w:sz w:val="24"/>
          <w:szCs w:val="24"/>
        </w:rPr>
        <w:t xml:space="preserve"> les actions de formation PEC ou d’autres dispositifs</w:t>
      </w:r>
      <w:r w:rsidR="00D1394D" w:rsidRPr="008604F8">
        <w:rPr>
          <w:b/>
          <w:color w:val="538135" w:themeColor="accent6" w:themeShade="BF"/>
          <w:sz w:val="24"/>
          <w:szCs w:val="24"/>
        </w:rPr>
        <w:t> ?</w:t>
      </w:r>
    </w:p>
    <w:p w14:paraId="78616892" w14:textId="5C9EB8E5" w:rsidR="001C2C3B" w:rsidRDefault="009506BF" w:rsidP="004F109A">
      <w:pPr>
        <w:pStyle w:val="Paragraphedeliste"/>
        <w:numPr>
          <w:ilvl w:val="0"/>
          <w:numId w:val="15"/>
        </w:numPr>
        <w:spacing w:before="120" w:after="0"/>
        <w:jc w:val="both"/>
        <w:rPr>
          <w:b/>
          <w:color w:val="538135" w:themeColor="accent6" w:themeShade="BF"/>
          <w:sz w:val="24"/>
          <w:szCs w:val="24"/>
        </w:rPr>
      </w:pPr>
      <w:r>
        <w:rPr>
          <w:b/>
          <w:color w:val="538135" w:themeColor="accent6" w:themeShade="BF"/>
          <w:sz w:val="24"/>
          <w:szCs w:val="24"/>
        </w:rPr>
        <w:t xml:space="preserve">Inscription à la PEC : </w:t>
      </w:r>
    </w:p>
    <w:p w14:paraId="5028238C" w14:textId="77777777" w:rsidR="00310550" w:rsidRDefault="00310550" w:rsidP="00310550">
      <w:pPr>
        <w:pStyle w:val="Paragraphedeliste"/>
        <w:spacing w:before="120" w:after="0"/>
        <w:ind w:left="2138"/>
        <w:jc w:val="both"/>
        <w:rPr>
          <w:b/>
          <w:color w:val="538135" w:themeColor="accent6" w:themeShade="BF"/>
          <w:sz w:val="24"/>
          <w:szCs w:val="24"/>
        </w:rPr>
      </w:pPr>
    </w:p>
    <w:p w14:paraId="731DDAFB" w14:textId="291A7E06" w:rsidR="001C2C3B" w:rsidRDefault="001C2C3B" w:rsidP="001C2C3B">
      <w:pPr>
        <w:pStyle w:val="Paragraphedeliste"/>
        <w:numPr>
          <w:ilvl w:val="1"/>
          <w:numId w:val="19"/>
        </w:numPr>
        <w:spacing w:before="120" w:after="0"/>
        <w:jc w:val="both"/>
        <w:rPr>
          <w:b/>
          <w:color w:val="538135" w:themeColor="accent6" w:themeShade="BF"/>
          <w:sz w:val="24"/>
          <w:szCs w:val="24"/>
        </w:rPr>
      </w:pPr>
      <w:proofErr w:type="gramStart"/>
      <w:r>
        <w:rPr>
          <w:b/>
          <w:color w:val="538135" w:themeColor="accent6" w:themeShade="BF"/>
          <w:sz w:val="24"/>
          <w:szCs w:val="24"/>
        </w:rPr>
        <w:t>action</w:t>
      </w:r>
      <w:proofErr w:type="gramEnd"/>
      <w:r>
        <w:rPr>
          <w:b/>
          <w:color w:val="538135" w:themeColor="accent6" w:themeShade="BF"/>
          <w:sz w:val="24"/>
          <w:szCs w:val="24"/>
        </w:rPr>
        <w:t xml:space="preserve"> de formation ministérielle</w:t>
      </w:r>
    </w:p>
    <w:p w14:paraId="09FC5488" w14:textId="77777777" w:rsidR="001C2C3B" w:rsidRDefault="001C2C3B" w:rsidP="001C2C3B">
      <w:pPr>
        <w:spacing w:before="120" w:after="0"/>
        <w:jc w:val="both"/>
      </w:pPr>
      <w:r>
        <w:t xml:space="preserve">L’inscription à une demande de formation PEC se fait selon la procédure habituelle de </w:t>
      </w:r>
      <w:proofErr w:type="spellStart"/>
      <w:r>
        <w:t>téléinscription</w:t>
      </w:r>
      <w:proofErr w:type="spellEnd"/>
      <w:r>
        <w:t xml:space="preserve"> via « Mon Self Mobile », disponible sur le site </w:t>
      </w:r>
      <w:proofErr w:type="spellStart"/>
      <w:r>
        <w:t>Formco</w:t>
      </w:r>
      <w:proofErr w:type="spellEnd"/>
      <w:r>
        <w:rPr>
          <w:rStyle w:val="Appelnotedebasdep"/>
        </w:rPr>
        <w:footnoteReference w:id="9"/>
      </w:r>
      <w:r>
        <w:t xml:space="preserve">. </w:t>
      </w:r>
    </w:p>
    <w:p w14:paraId="7172A49F" w14:textId="49C1B509" w:rsidR="001C2C3B" w:rsidRPr="001C2C3B" w:rsidRDefault="001C2C3B" w:rsidP="001C2C3B">
      <w:pPr>
        <w:spacing w:before="120" w:after="0"/>
        <w:jc w:val="both"/>
      </w:pPr>
      <w:r>
        <w:lastRenderedPageBreak/>
        <w:t>Cette demande est de plein droit dans la limite de 5 jours par an</w:t>
      </w:r>
      <w:r>
        <w:rPr>
          <w:rStyle w:val="Appelnotedebasdep"/>
        </w:rPr>
        <w:footnoteReference w:id="10"/>
      </w:r>
      <w:r>
        <w:t xml:space="preserve">. </w:t>
      </w:r>
    </w:p>
    <w:p w14:paraId="26860B31" w14:textId="2730CCD5" w:rsidR="009506BF" w:rsidRDefault="001C2C3B" w:rsidP="001C2C3B">
      <w:pPr>
        <w:pStyle w:val="Paragraphedeliste"/>
        <w:numPr>
          <w:ilvl w:val="1"/>
          <w:numId w:val="15"/>
        </w:numPr>
        <w:spacing w:before="120" w:after="0"/>
        <w:jc w:val="both"/>
        <w:rPr>
          <w:b/>
          <w:color w:val="538135" w:themeColor="accent6" w:themeShade="BF"/>
          <w:sz w:val="24"/>
          <w:szCs w:val="24"/>
        </w:rPr>
      </w:pPr>
      <w:r>
        <w:rPr>
          <w:b/>
          <w:color w:val="538135" w:themeColor="accent6" w:themeShade="BF"/>
          <w:sz w:val="24"/>
          <w:szCs w:val="24"/>
        </w:rPr>
        <w:t xml:space="preserve">action de formation des </w:t>
      </w:r>
      <w:r w:rsidR="00D05BB0">
        <w:rPr>
          <w:b/>
          <w:color w:val="538135" w:themeColor="accent6" w:themeShade="BF"/>
          <w:sz w:val="24"/>
          <w:szCs w:val="24"/>
        </w:rPr>
        <w:t>organismes de formation de l’UNREP et de l’IFEAP</w:t>
      </w:r>
      <w:r>
        <w:rPr>
          <w:rStyle w:val="Appelnotedebasdep"/>
        </w:rPr>
        <w:footnoteReference w:id="11"/>
      </w:r>
      <w:r>
        <w:rPr>
          <w:b/>
          <w:color w:val="538135" w:themeColor="accent6" w:themeShade="BF"/>
          <w:sz w:val="24"/>
          <w:szCs w:val="24"/>
        </w:rPr>
        <w:t xml:space="preserve"> pour les enseignants contractuels de droit public</w:t>
      </w:r>
    </w:p>
    <w:p w14:paraId="39419E34" w14:textId="496AAF25" w:rsidR="001C2C3B" w:rsidRDefault="001C2C3B" w:rsidP="009506BF">
      <w:pPr>
        <w:spacing w:before="120" w:after="0"/>
        <w:jc w:val="both"/>
      </w:pPr>
      <w:r>
        <w:t>L</w:t>
      </w:r>
      <w:r w:rsidRPr="001C2C3B">
        <w:t>’inscription des enseignants de droit public affectés dans un établissement d’enseignement agricole privé sous contrat avec l’État relevant de l’article L813-8 du Code rural est spécifique à chaque fédération et majoritairement dématérialisée</w:t>
      </w:r>
      <w:r>
        <w:t xml:space="preserve"> via leur site internet. </w:t>
      </w:r>
    </w:p>
    <w:p w14:paraId="1CCDEF24" w14:textId="77777777" w:rsidR="00310550" w:rsidRPr="00E86190" w:rsidRDefault="00310550" w:rsidP="009506BF">
      <w:pPr>
        <w:spacing w:before="120" w:after="0"/>
        <w:jc w:val="both"/>
      </w:pPr>
    </w:p>
    <w:p w14:paraId="098133BE" w14:textId="4CD4E660" w:rsidR="00E86190" w:rsidRDefault="00E86190" w:rsidP="004F109A">
      <w:pPr>
        <w:pStyle w:val="Paragraphedeliste"/>
        <w:numPr>
          <w:ilvl w:val="0"/>
          <w:numId w:val="15"/>
        </w:numPr>
        <w:spacing w:before="120" w:after="0"/>
        <w:jc w:val="both"/>
        <w:rPr>
          <w:b/>
          <w:color w:val="538135" w:themeColor="accent6" w:themeShade="BF"/>
          <w:sz w:val="24"/>
          <w:szCs w:val="24"/>
        </w:rPr>
      </w:pPr>
      <w:r>
        <w:rPr>
          <w:b/>
          <w:color w:val="538135" w:themeColor="accent6" w:themeShade="BF"/>
          <w:sz w:val="24"/>
          <w:szCs w:val="24"/>
        </w:rPr>
        <w:t xml:space="preserve">Inscription à des actions de formation longue </w:t>
      </w:r>
    </w:p>
    <w:p w14:paraId="2BF522F7" w14:textId="3D1D7823" w:rsidR="00E86190" w:rsidRPr="00E86190" w:rsidRDefault="00A27555" w:rsidP="00E86190">
      <w:pPr>
        <w:spacing w:before="120" w:after="0"/>
        <w:jc w:val="both"/>
      </w:pPr>
      <w:r>
        <w:t>Si l</w:t>
      </w:r>
      <w:r w:rsidR="00E86190" w:rsidRPr="00E86190">
        <w:t xml:space="preserve">’agent </w:t>
      </w:r>
      <w:r>
        <w:t>souhaite</w:t>
      </w:r>
      <w:r w:rsidR="00E86190" w:rsidRPr="00E86190">
        <w:t xml:space="preserve"> bénéficier d’une formation d’une durée longue</w:t>
      </w:r>
      <w:r>
        <w:t xml:space="preserve">, il peut </w:t>
      </w:r>
      <w:r w:rsidR="00E86190" w:rsidRPr="00E86190">
        <w:t>demander à mobiliser deux dispositifs différents :</w:t>
      </w:r>
    </w:p>
    <w:p w14:paraId="764B2B47" w14:textId="7E230F8E" w:rsidR="00E86190" w:rsidRPr="00E86190" w:rsidRDefault="00E86190" w:rsidP="00A27555">
      <w:pPr>
        <w:pStyle w:val="Paragraphedeliste"/>
        <w:numPr>
          <w:ilvl w:val="0"/>
          <w:numId w:val="17"/>
        </w:numPr>
        <w:spacing w:before="60" w:after="0"/>
        <w:ind w:left="714" w:hanging="357"/>
        <w:contextualSpacing w:val="0"/>
        <w:jc w:val="both"/>
      </w:pPr>
      <w:proofErr w:type="gramStart"/>
      <w:r w:rsidRPr="00E86190">
        <w:t>le</w:t>
      </w:r>
      <w:proofErr w:type="gramEnd"/>
      <w:r w:rsidRPr="00E86190">
        <w:t xml:space="preserve"> compte personnel de formation (fiche n° 8) ;</w:t>
      </w:r>
    </w:p>
    <w:p w14:paraId="3CC842EC" w14:textId="335CB159" w:rsidR="00E86190" w:rsidRPr="00E86190" w:rsidRDefault="00E86190" w:rsidP="00A27555">
      <w:pPr>
        <w:pStyle w:val="Paragraphedeliste"/>
        <w:numPr>
          <w:ilvl w:val="0"/>
          <w:numId w:val="17"/>
        </w:numPr>
        <w:spacing w:before="60" w:after="0"/>
        <w:ind w:left="714" w:hanging="357"/>
        <w:contextualSpacing w:val="0"/>
        <w:jc w:val="both"/>
      </w:pPr>
      <w:proofErr w:type="gramStart"/>
      <w:r>
        <w:t>l</w:t>
      </w:r>
      <w:r w:rsidRPr="00E86190">
        <w:t>e</w:t>
      </w:r>
      <w:proofErr w:type="gramEnd"/>
      <w:r w:rsidRPr="00E86190">
        <w:t xml:space="preserve"> congé de formation professionne</w:t>
      </w:r>
      <w:r>
        <w:t>lle ou le congé de mobilité (</w:t>
      </w:r>
      <w:r w:rsidRPr="00E86190">
        <w:t>fiche n°6)</w:t>
      </w:r>
      <w:r w:rsidR="00A27555">
        <w:t>.</w:t>
      </w:r>
    </w:p>
    <w:p w14:paraId="3223F75C" w14:textId="35422C9A" w:rsidR="00E86190" w:rsidRPr="00E86190" w:rsidRDefault="00E86190" w:rsidP="00E86190">
      <w:pPr>
        <w:spacing w:before="120" w:after="0"/>
        <w:jc w:val="both"/>
        <w:rPr>
          <w:b/>
          <w:color w:val="538135" w:themeColor="accent6" w:themeShade="BF"/>
          <w:sz w:val="24"/>
          <w:szCs w:val="24"/>
        </w:rPr>
      </w:pPr>
      <w:r w:rsidRPr="00E86190">
        <w:t>L</w:t>
      </w:r>
      <w:r w:rsidR="00A27555">
        <w:t>’examen des</w:t>
      </w:r>
      <w:r w:rsidRPr="00E86190">
        <w:t xml:space="preserve"> demande</w:t>
      </w:r>
      <w:r w:rsidR="00A27555">
        <w:t>s</w:t>
      </w:r>
      <w:r w:rsidRPr="00E86190">
        <w:t xml:space="preserve"> de mobilisation de ces outils se fait </w:t>
      </w:r>
      <w:r w:rsidR="00A27555">
        <w:t xml:space="preserve">par le biais d’une procédure spécifique </w:t>
      </w:r>
      <w:r w:rsidRPr="00E86190">
        <w:t>lors de campagne</w:t>
      </w:r>
      <w:r w:rsidR="00A27555">
        <w:t>s</w:t>
      </w:r>
      <w:r w:rsidRPr="00E86190">
        <w:t xml:space="preserve"> annuelle</w:t>
      </w:r>
      <w:r w:rsidR="00A27555">
        <w:t>s</w:t>
      </w:r>
      <w:r w:rsidRPr="00E86190">
        <w:t xml:space="preserve"> ou bi annuelle</w:t>
      </w:r>
      <w:r w:rsidR="00A27555">
        <w:t>s,</w:t>
      </w:r>
      <w:r w:rsidRPr="00E86190">
        <w:t xml:space="preserve"> </w:t>
      </w:r>
      <w:r w:rsidR="00A27555">
        <w:t xml:space="preserve">comprenant un passage </w:t>
      </w:r>
      <w:r w:rsidRPr="00E86190">
        <w:t>en commission selon un calendrier</w:t>
      </w:r>
      <w:r>
        <w:rPr>
          <w:b/>
          <w:color w:val="538135" w:themeColor="accent6" w:themeShade="BF"/>
          <w:sz w:val="24"/>
          <w:szCs w:val="24"/>
        </w:rPr>
        <w:t xml:space="preserve"> </w:t>
      </w:r>
      <w:r w:rsidRPr="00E86190">
        <w:t>particulier</w:t>
      </w:r>
      <w:r>
        <w:t>.</w:t>
      </w:r>
    </w:p>
    <w:p w14:paraId="65BA642B" w14:textId="64F797A3" w:rsidR="0003409B" w:rsidRPr="000F13F9" w:rsidRDefault="0003409B" w:rsidP="004F109A">
      <w:pPr>
        <w:pStyle w:val="Paragraphedeliste"/>
        <w:numPr>
          <w:ilvl w:val="0"/>
          <w:numId w:val="15"/>
        </w:numPr>
        <w:spacing w:before="120" w:after="0"/>
        <w:jc w:val="both"/>
        <w:rPr>
          <w:b/>
          <w:color w:val="538135" w:themeColor="accent6" w:themeShade="BF"/>
          <w:sz w:val="24"/>
          <w:szCs w:val="24"/>
        </w:rPr>
      </w:pPr>
      <w:r w:rsidRPr="000F13F9">
        <w:rPr>
          <w:b/>
          <w:color w:val="538135" w:themeColor="accent6" w:themeShade="BF"/>
          <w:sz w:val="24"/>
          <w:szCs w:val="24"/>
        </w:rPr>
        <w:t>Le temps de préparation personnelle</w:t>
      </w:r>
    </w:p>
    <w:p w14:paraId="06E10D0E" w14:textId="1A52D0BB" w:rsidR="0003409B" w:rsidRDefault="00E86190" w:rsidP="005C046F">
      <w:pPr>
        <w:spacing w:before="120" w:after="0"/>
        <w:jc w:val="both"/>
      </w:pPr>
      <w:r>
        <w:t>Sans</w:t>
      </w:r>
      <w:r w:rsidR="00B966AD" w:rsidRPr="00B966AD">
        <w:t xml:space="preserve"> préjudice des décharges accordées de droit</w:t>
      </w:r>
      <w:r w:rsidR="000F13F9">
        <w:t xml:space="preserve"> d’une durée de 5 jours de formation</w:t>
      </w:r>
      <w:r>
        <w:t xml:space="preserve"> PEC</w:t>
      </w:r>
      <w:r w:rsidR="00B966AD" w:rsidRPr="00B966AD">
        <w:t>, l'agent inscrit à un concours ou examen professionnel peut, dans la limite d'un total de cinq jours par année civile, utiliser son compte épargne temps</w:t>
      </w:r>
      <w:r w:rsidR="008B0A7B">
        <w:t xml:space="preserve"> (CET)</w:t>
      </w:r>
      <w:r w:rsidR="00B966AD" w:rsidRPr="00B966AD">
        <w:t xml:space="preserve"> ou, à défaut, son compte personnel de formation pour disposer d'un temps de préparation personnelle selon un calendrier validé par son employeur.</w:t>
      </w:r>
    </w:p>
    <w:p w14:paraId="029318B4" w14:textId="75B8B694" w:rsidR="008D5575" w:rsidRDefault="0003409B" w:rsidP="005C046F">
      <w:pPr>
        <w:spacing w:before="120" w:after="0"/>
        <w:jc w:val="both"/>
      </w:pPr>
      <w:r>
        <w:t xml:space="preserve">La demande est faite auprès de son supérieur hiérarchique et </w:t>
      </w:r>
      <w:r w:rsidR="000420D2">
        <w:t xml:space="preserve">doit être </w:t>
      </w:r>
      <w:r>
        <w:t>valid</w:t>
      </w:r>
      <w:r w:rsidR="000420D2">
        <w:t>ée</w:t>
      </w:r>
      <w:r>
        <w:t xml:space="preserve"> par le gestionnaire de proximité.</w:t>
      </w:r>
    </w:p>
    <w:p w14:paraId="0115AC38" w14:textId="0B7E1EDA" w:rsidR="00B459B0" w:rsidRPr="00A27555" w:rsidRDefault="00A27555" w:rsidP="000420D2">
      <w:pPr>
        <w:rPr>
          <w:b/>
        </w:rPr>
      </w:pPr>
      <w:r>
        <w:br w:type="page"/>
      </w:r>
      <w:r w:rsidR="008D5575" w:rsidRPr="00A27555">
        <w:rPr>
          <w:b/>
        </w:rPr>
        <w:lastRenderedPageBreak/>
        <w:t xml:space="preserve">Schéma des dispositifs pouvant être mobilisés pour préparer un concours ou un examen professionnel. </w:t>
      </w:r>
      <w:r w:rsidR="0003409B" w:rsidRPr="00A27555">
        <w:rPr>
          <w:b/>
        </w:rPr>
        <w:t xml:space="preserve"> </w:t>
      </w:r>
    </w:p>
    <w:p w14:paraId="2A3B3121" w14:textId="468D220C" w:rsidR="008D5575" w:rsidRDefault="008D5575" w:rsidP="005C046F">
      <w:pPr>
        <w:spacing w:before="120" w:after="0"/>
        <w:jc w:val="both"/>
      </w:pPr>
      <w:r>
        <w:rPr>
          <w:noProof/>
          <w:lang w:eastAsia="fr-FR"/>
        </w:rPr>
        <w:drawing>
          <wp:inline distT="0" distB="0" distL="0" distR="0" wp14:anchorId="7ED93548" wp14:editId="796580C4">
            <wp:extent cx="5760720" cy="291592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760720" cy="2915920"/>
                    </a:xfrm>
                    <a:prstGeom prst="rect">
                      <a:avLst/>
                    </a:prstGeom>
                  </pic:spPr>
                </pic:pic>
              </a:graphicData>
            </a:graphic>
          </wp:inline>
        </w:drawing>
      </w:r>
    </w:p>
    <w:p w14:paraId="2F600718" w14:textId="585189C6" w:rsidR="00C4304A" w:rsidRDefault="00C4304A" w:rsidP="005C046F">
      <w:pPr>
        <w:spacing w:before="120" w:after="0"/>
        <w:jc w:val="both"/>
      </w:pPr>
    </w:p>
    <w:p w14:paraId="4B1F5290" w14:textId="333A07E2" w:rsidR="00BD779F" w:rsidRDefault="00BD779F" w:rsidP="005C046F">
      <w:pPr>
        <w:spacing w:before="120" w:after="0"/>
        <w:jc w:val="both"/>
      </w:pPr>
    </w:p>
    <w:p w14:paraId="544D378D" w14:textId="5D830114" w:rsidR="00BD779F" w:rsidRDefault="009138B0" w:rsidP="005C046F">
      <w:pPr>
        <w:spacing w:before="120" w:after="0"/>
        <w:jc w:val="both"/>
      </w:pPr>
      <w:r>
        <w:rPr>
          <w:noProof/>
          <w:lang w:eastAsia="fr-FR"/>
        </w:rPr>
        <mc:AlternateContent>
          <mc:Choice Requires="wps">
            <w:drawing>
              <wp:anchor distT="0" distB="0" distL="114300" distR="114300" simplePos="0" relativeHeight="251659264" behindDoc="0" locked="0" layoutInCell="1" allowOverlap="1" wp14:anchorId="09FBD1B8" wp14:editId="102C60B6">
                <wp:simplePos x="0" y="0"/>
                <wp:positionH relativeFrom="margin">
                  <wp:posOffset>161925</wp:posOffset>
                </wp:positionH>
                <wp:positionV relativeFrom="paragraph">
                  <wp:posOffset>82550</wp:posOffset>
                </wp:positionV>
                <wp:extent cx="5743575" cy="533400"/>
                <wp:effectExtent l="0" t="0" r="28575" b="95250"/>
                <wp:wrapNone/>
                <wp:docPr id="4" name="Rectangle 4"/>
                <wp:cNvGraphicFramePr/>
                <a:graphic xmlns:a="http://schemas.openxmlformats.org/drawingml/2006/main">
                  <a:graphicData uri="http://schemas.microsoft.com/office/word/2010/wordprocessingShape">
                    <wps:wsp>
                      <wps:cNvSpPr/>
                      <wps:spPr>
                        <a:xfrm>
                          <a:off x="0" y="0"/>
                          <a:ext cx="5743575" cy="533400"/>
                        </a:xfrm>
                        <a:prstGeom prst="wedgeRectCallout">
                          <a:avLst/>
                        </a:prstGeom>
                        <a:solidFill>
                          <a:schemeClr val="bg1"/>
                        </a:solidFill>
                        <a:ln w="190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391155" w14:textId="73251392" w:rsidR="00BD779F" w:rsidRDefault="00BD779F" w:rsidP="00BD779F">
                            <w:pPr>
                              <w:rPr>
                                <w:b/>
                                <w:color w:val="538135" w:themeColor="accent6" w:themeShade="BF"/>
                                <w:sz w:val="24"/>
                                <w:szCs w:val="24"/>
                              </w:rPr>
                            </w:pPr>
                            <w:r>
                              <w:rPr>
                                <w:b/>
                                <w:color w:val="538135" w:themeColor="accent6" w:themeShade="BF"/>
                                <w:sz w:val="24"/>
                                <w:szCs w:val="24"/>
                              </w:rPr>
                              <w:t>EXEMPLES DE MOBILISATION DE LA PEC PAR...</w:t>
                            </w:r>
                          </w:p>
                          <w:p w14:paraId="055AA23B" w14:textId="77777777" w:rsidR="00BD779F" w:rsidRPr="0094359B" w:rsidRDefault="00BD779F" w:rsidP="00BD779F">
                            <w:pPr>
                              <w:rPr>
                                <w:b/>
                                <w:color w:val="538135" w:themeColor="accent6" w:themeShade="BF"/>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FBD1B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le 4" o:spid="_x0000_s1026" type="#_x0000_t61" style="position:absolute;left:0;text-align:left;margin-left:12.75pt;margin-top:6.5pt;width:452.25pt;height:4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" adj="6300,24300" fillcolor="white [3212]" strokecolor="#538135 [2409]" strokeweight="1.5pt">
                <v:textbox>
                  <w:txbxContent>
                    <w:p w14:paraId="01391155" w14:textId="73251392" w:rsidR="00BD779F" w:rsidRDefault="00BD779F" w:rsidP="00BD779F">
                      <w:pPr>
                        <w:rPr>
                          <w:b/>
                          <w:color w:val="538135" w:themeColor="accent6" w:themeShade="BF"/>
                          <w:sz w:val="24"/>
                          <w:szCs w:val="24"/>
                        </w:rPr>
                      </w:pPr>
                      <w:r>
                        <w:rPr>
                          <w:b/>
                          <w:color w:val="538135" w:themeColor="accent6" w:themeShade="BF"/>
                          <w:sz w:val="24"/>
                          <w:szCs w:val="24"/>
                        </w:rPr>
                        <w:t>EXEMPLES DE MOBILISATION DE LA PEC PAR...</w:t>
                      </w:r>
                    </w:p>
                    <w:p w14:paraId="055AA23B" w14:textId="77777777" w:rsidR="00BD779F" w:rsidRPr="0094359B" w:rsidRDefault="00BD779F" w:rsidP="00BD779F">
                      <w:pPr>
                        <w:rPr>
                          <w:b/>
                          <w:color w:val="538135" w:themeColor="accent6" w:themeShade="BF"/>
                          <w:sz w:val="24"/>
                          <w:szCs w:val="24"/>
                        </w:rPr>
                      </w:pPr>
                    </w:p>
                  </w:txbxContent>
                </v:textbox>
                <w10:wrap anchorx="margin"/>
              </v:shape>
            </w:pict>
          </mc:Fallback>
        </mc:AlternateContent>
      </w:r>
    </w:p>
    <w:p w14:paraId="57079CED" w14:textId="32721456" w:rsidR="00C4304A" w:rsidRDefault="00C4304A" w:rsidP="005C046F">
      <w:pPr>
        <w:spacing w:before="120" w:after="0"/>
        <w:jc w:val="both"/>
      </w:pPr>
    </w:p>
    <w:p w14:paraId="0B5D7794" w14:textId="6F6DA28F" w:rsidR="00BD779F" w:rsidRPr="00AD2BAB" w:rsidRDefault="00AD2BAB" w:rsidP="00AD2BAB">
      <w:pPr>
        <w:pStyle w:val="Paragraphedeliste"/>
        <w:numPr>
          <w:ilvl w:val="0"/>
          <w:numId w:val="18"/>
        </w:numPr>
        <w:spacing w:before="360" w:after="180"/>
        <w:jc w:val="both"/>
        <w:rPr>
          <w:color w:val="000000" w:themeColor="text1"/>
          <w:sz w:val="24"/>
          <w:szCs w:val="24"/>
        </w:rPr>
      </w:pPr>
      <w:r w:rsidRPr="00AD2BAB">
        <w:rPr>
          <w:color w:val="000000" w:themeColor="text1"/>
          <w:sz w:val="24"/>
          <w:szCs w:val="24"/>
        </w:rPr>
        <w:t>U</w:t>
      </w:r>
      <w:r w:rsidR="00BD779F" w:rsidRPr="00AD2BAB">
        <w:rPr>
          <w:color w:val="000000" w:themeColor="text1"/>
          <w:sz w:val="24"/>
          <w:szCs w:val="24"/>
        </w:rPr>
        <w:t>n enseignant contractuel en EPLEFPA souhaite être titularisé. Il s'inscrit aux formations proposées par sa DRFC pour la préparation de son dossier RAEP</w:t>
      </w:r>
      <w:r w:rsidR="00BD779F">
        <w:rPr>
          <w:rStyle w:val="Appelnotedebasdep"/>
          <w:color w:val="000000" w:themeColor="text1"/>
          <w:sz w:val="24"/>
          <w:szCs w:val="24"/>
        </w:rPr>
        <w:footnoteReference w:id="12"/>
      </w:r>
      <w:r w:rsidR="00BD779F" w:rsidRPr="00AD2BAB">
        <w:rPr>
          <w:color w:val="000000" w:themeColor="text1"/>
          <w:sz w:val="24"/>
          <w:szCs w:val="24"/>
        </w:rPr>
        <w:t>, puis de la préparation de son épreuve orale.</w:t>
      </w:r>
    </w:p>
    <w:p w14:paraId="3EFC4B5A" w14:textId="613F8E3D" w:rsidR="00BD779F" w:rsidRPr="00AD2BAB" w:rsidRDefault="00BD779F" w:rsidP="00AD2BAB">
      <w:pPr>
        <w:pStyle w:val="Paragraphedeliste"/>
        <w:numPr>
          <w:ilvl w:val="0"/>
          <w:numId w:val="18"/>
        </w:numPr>
        <w:spacing w:before="120" w:after="0"/>
        <w:jc w:val="both"/>
        <w:rPr>
          <w:color w:val="000000" w:themeColor="text1"/>
        </w:rPr>
      </w:pPr>
      <w:r w:rsidRPr="00AD2BAB">
        <w:rPr>
          <w:color w:val="000000" w:themeColor="text1"/>
          <w:sz w:val="24"/>
          <w:szCs w:val="24"/>
        </w:rPr>
        <w:t xml:space="preserve">Une secrétaire administrative souhaite passer Attachée. Elle s'inscrit </w:t>
      </w:r>
      <w:r w:rsidR="00AD2BAB">
        <w:rPr>
          <w:color w:val="000000" w:themeColor="text1"/>
          <w:sz w:val="24"/>
          <w:szCs w:val="24"/>
        </w:rPr>
        <w:t xml:space="preserve">à la </w:t>
      </w:r>
      <w:r w:rsidRPr="00AD2BAB">
        <w:rPr>
          <w:color w:val="000000" w:themeColor="text1"/>
          <w:sz w:val="24"/>
          <w:szCs w:val="24"/>
        </w:rPr>
        <w:t>préparation aux écrits proposée en interministériel par sa PFRH</w:t>
      </w:r>
      <w:r w:rsidR="009E1107">
        <w:rPr>
          <w:rStyle w:val="Appelnotedebasdep"/>
          <w:color w:val="000000" w:themeColor="text1"/>
          <w:sz w:val="24"/>
          <w:szCs w:val="24"/>
        </w:rPr>
        <w:footnoteReference w:id="13"/>
      </w:r>
      <w:r w:rsidRPr="00AD2BAB">
        <w:rPr>
          <w:color w:val="000000" w:themeColor="text1"/>
          <w:sz w:val="24"/>
          <w:szCs w:val="24"/>
        </w:rPr>
        <w:t xml:space="preserve"> (via SAFIRE), puis à la préparation de son dossier RAEP et de ses épreuves orales proposées par sa DRFC.</w:t>
      </w:r>
    </w:p>
    <w:p w14:paraId="14D50B39" w14:textId="65A70555" w:rsidR="00813321" w:rsidRDefault="00813321" w:rsidP="00813321">
      <w:pPr>
        <w:jc w:val="both"/>
        <w:rPr>
          <w:noProof/>
          <w:lang w:eastAsia="fr-FR"/>
        </w:rPr>
      </w:pPr>
    </w:p>
    <w:p w14:paraId="538478CD" w14:textId="756A706C" w:rsidR="009E1107" w:rsidRDefault="009E1107" w:rsidP="00813321">
      <w:pPr>
        <w:jc w:val="both"/>
        <w:rPr>
          <w:noProof/>
          <w:lang w:eastAsia="fr-FR"/>
        </w:rPr>
      </w:pPr>
    </w:p>
    <w:p w14:paraId="0F67D40D" w14:textId="2C0AE3DC" w:rsidR="009E1107" w:rsidRDefault="009E1107" w:rsidP="00813321">
      <w:pPr>
        <w:jc w:val="both"/>
        <w:rPr>
          <w:noProof/>
          <w:lang w:eastAsia="fr-FR"/>
        </w:rPr>
      </w:pPr>
    </w:p>
    <w:p w14:paraId="38D43940" w14:textId="17E04D7C" w:rsidR="009E1107" w:rsidRDefault="009E1107" w:rsidP="00813321">
      <w:pPr>
        <w:jc w:val="both"/>
        <w:rPr>
          <w:noProof/>
          <w:lang w:eastAsia="fr-FR"/>
        </w:rPr>
      </w:pPr>
    </w:p>
    <w:sectPr w:rsidR="009E1107">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48078E" w14:textId="77777777" w:rsidR="00434139" w:rsidRDefault="00434139" w:rsidP="00434139">
      <w:pPr>
        <w:spacing w:after="0" w:line="240" w:lineRule="auto"/>
      </w:pPr>
      <w:r>
        <w:separator/>
      </w:r>
    </w:p>
  </w:endnote>
  <w:endnote w:type="continuationSeparator" w:id="0">
    <w:p w14:paraId="7437F43C" w14:textId="77777777" w:rsidR="00434139" w:rsidRDefault="00434139" w:rsidP="00434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9BBEE" w14:textId="77777777" w:rsidR="0006367C" w:rsidRDefault="0006367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12692"/>
      <w:docPartObj>
        <w:docPartGallery w:val="Page Numbers (Bottom of Page)"/>
        <w:docPartUnique/>
      </w:docPartObj>
    </w:sdtPr>
    <w:sdtEndPr/>
    <w:sdtContent>
      <w:sdt>
        <w:sdtPr>
          <w:id w:val="-1769616900"/>
          <w:docPartObj>
            <w:docPartGallery w:val="Page Numbers (Top of Page)"/>
            <w:docPartUnique/>
          </w:docPartObj>
        </w:sdtPr>
        <w:sdtEndPr/>
        <w:sdtContent>
          <w:p w14:paraId="350CAD13" w14:textId="0731273F" w:rsidR="003F56D5" w:rsidRDefault="003F56D5">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sidR="00D05BB0">
              <w:rPr>
                <w:b/>
                <w:bCs/>
                <w:noProof/>
              </w:rPr>
              <w:t>5</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D05BB0">
              <w:rPr>
                <w:b/>
                <w:bCs/>
                <w:noProof/>
              </w:rPr>
              <w:t>5</w:t>
            </w:r>
            <w:r>
              <w:rPr>
                <w:b/>
                <w:bCs/>
                <w:sz w:val="24"/>
                <w:szCs w:val="24"/>
              </w:rPr>
              <w:fldChar w:fldCharType="end"/>
            </w:r>
          </w:p>
        </w:sdtContent>
      </w:sdt>
    </w:sdtContent>
  </w:sdt>
  <w:p w14:paraId="7E8F191F" w14:textId="77777777" w:rsidR="00A85963" w:rsidRDefault="00A8596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9AF6D" w14:textId="77777777" w:rsidR="0006367C" w:rsidRDefault="0006367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F14344" w14:textId="77777777" w:rsidR="00434139" w:rsidRDefault="00434139" w:rsidP="00434139">
      <w:pPr>
        <w:spacing w:after="0" w:line="240" w:lineRule="auto"/>
      </w:pPr>
      <w:r>
        <w:separator/>
      </w:r>
    </w:p>
  </w:footnote>
  <w:footnote w:type="continuationSeparator" w:id="0">
    <w:p w14:paraId="07941F27" w14:textId="77777777" w:rsidR="00434139" w:rsidRDefault="00434139" w:rsidP="00434139">
      <w:pPr>
        <w:spacing w:after="0" w:line="240" w:lineRule="auto"/>
      </w:pPr>
      <w:r>
        <w:continuationSeparator/>
      </w:r>
    </w:p>
  </w:footnote>
  <w:footnote w:id="1">
    <w:p w14:paraId="3183C4CA" w14:textId="6E08E9BE" w:rsidR="00C635B5" w:rsidRDefault="00C635B5">
      <w:pPr>
        <w:pStyle w:val="Notedebasdepage"/>
      </w:pPr>
      <w:r>
        <w:rPr>
          <w:rStyle w:val="Appelnotedebasdep"/>
        </w:rPr>
        <w:footnoteRef/>
      </w:r>
      <w:r>
        <w:t xml:space="preserve"> </w:t>
      </w:r>
      <w:hyperlink r:id="rId1" w:history="1">
        <w:r w:rsidR="00A85963" w:rsidRPr="00CB656C">
          <w:rPr>
            <w:rStyle w:val="Lienhypertexte"/>
          </w:rPr>
          <w:t>https://concours.agriculture.gouv.fr</w:t>
        </w:r>
      </w:hyperlink>
      <w:r w:rsidR="00A85963">
        <w:t xml:space="preserve"> </w:t>
      </w:r>
    </w:p>
  </w:footnote>
  <w:footnote w:id="2">
    <w:p w14:paraId="3FAAAEE0" w14:textId="77777777" w:rsidR="00D05BB0" w:rsidRDefault="00D05BB0" w:rsidP="00D05BB0">
      <w:pPr>
        <w:pStyle w:val="Notedebasdepage"/>
      </w:pPr>
      <w:r>
        <w:rPr>
          <w:rStyle w:val="Appelnotedebasdep"/>
        </w:rPr>
        <w:footnoteRef/>
      </w:r>
      <w:r>
        <w:t xml:space="preserve"> </w:t>
      </w:r>
      <w:hyperlink r:id="rId2" w:history="1">
        <w:r w:rsidRPr="00082875">
          <w:rPr>
            <w:rStyle w:val="Lienhypertexte"/>
          </w:rPr>
          <w:t>https://formco.agriculture.gouv.fr/trouver-une-formation/dispositifs-specifiques/preparation-examens-et-concours</w:t>
        </w:r>
      </w:hyperlink>
    </w:p>
  </w:footnote>
  <w:footnote w:id="3">
    <w:p w14:paraId="714CF914" w14:textId="19217220" w:rsidR="00D05BB0" w:rsidRDefault="00D05BB0">
      <w:pPr>
        <w:pStyle w:val="Notedebasdepage"/>
      </w:pPr>
      <w:r>
        <w:rPr>
          <w:rStyle w:val="Appelnotedebasdep"/>
        </w:rPr>
        <w:footnoteRef/>
      </w:r>
      <w:r>
        <w:t xml:space="preserve"> L</w:t>
      </w:r>
      <w:r w:rsidRPr="00D05BB0">
        <w:t>’Union nationale rurale d’éducation et de promotion (UNREP)</w:t>
      </w:r>
    </w:p>
  </w:footnote>
  <w:footnote w:id="4">
    <w:p w14:paraId="7F04E77F" w14:textId="0493F8A6" w:rsidR="00D05BB0" w:rsidRDefault="00D05BB0">
      <w:pPr>
        <w:pStyle w:val="Notedebasdepage"/>
      </w:pPr>
      <w:r>
        <w:rPr>
          <w:rStyle w:val="Appelnotedebasdep"/>
        </w:rPr>
        <w:footnoteRef/>
      </w:r>
      <w:r>
        <w:t xml:space="preserve"> L’institut de formation de l’enseignement agricole privé (IFEAP)</w:t>
      </w:r>
    </w:p>
  </w:footnote>
  <w:footnote w:id="5">
    <w:p w14:paraId="147EB2B0" w14:textId="4D5F69C8" w:rsidR="00D05BB0" w:rsidRDefault="00D05BB0">
      <w:pPr>
        <w:pStyle w:val="Notedebasdepage"/>
      </w:pPr>
      <w:r>
        <w:rPr>
          <w:rStyle w:val="Appelnotedebasdep"/>
        </w:rPr>
        <w:footnoteRef/>
      </w:r>
      <w:r>
        <w:t xml:space="preserve"> </w:t>
      </w:r>
      <w:r w:rsidRPr="00D05BB0">
        <w:t>Le Conseil nationale de l’enseignement agricole privé (CNEAP)</w:t>
      </w:r>
    </w:p>
  </w:footnote>
  <w:footnote w:id="6">
    <w:p w14:paraId="3AE112F9" w14:textId="77777777" w:rsidR="00D1394D" w:rsidRDefault="00D1394D" w:rsidP="00D1394D">
      <w:pPr>
        <w:pStyle w:val="Notedebasdepage"/>
      </w:pPr>
      <w:r>
        <w:rPr>
          <w:rStyle w:val="Appelnotedebasdep"/>
        </w:rPr>
        <w:footnoteRef/>
      </w:r>
      <w:r>
        <w:t xml:space="preserve"> </w:t>
      </w:r>
      <w:hyperlink r:id="rId3" w:history="1">
        <w:r w:rsidRPr="00082875">
          <w:rPr>
            <w:rStyle w:val="Lienhypertexte"/>
          </w:rPr>
          <w:t>https://www.safire.fonction-publique.gouv.fr/</w:t>
        </w:r>
      </w:hyperlink>
    </w:p>
  </w:footnote>
  <w:footnote w:id="7">
    <w:p w14:paraId="5DA1A3B5" w14:textId="674F00D9" w:rsidR="009506BF" w:rsidRDefault="009506BF" w:rsidP="009506BF">
      <w:pPr>
        <w:pStyle w:val="Notedebasdepage"/>
      </w:pPr>
      <w:r>
        <w:rPr>
          <w:rStyle w:val="Appelnotedebasdep"/>
        </w:rPr>
        <w:footnoteRef/>
      </w:r>
      <w:r>
        <w:t xml:space="preserve"> Fiche </w:t>
      </w:r>
      <w:r w:rsidR="008B0A7B">
        <w:t>N°8 C</w:t>
      </w:r>
      <w:r>
        <w:t>ompte personnel de formation</w:t>
      </w:r>
    </w:p>
  </w:footnote>
  <w:footnote w:id="8">
    <w:p w14:paraId="42FE88BA" w14:textId="77777777" w:rsidR="00D1394D" w:rsidRDefault="00D1394D" w:rsidP="00D1394D">
      <w:pPr>
        <w:pStyle w:val="Notedebasdepage"/>
      </w:pPr>
      <w:r>
        <w:rPr>
          <w:rStyle w:val="Appelnotedebasdep"/>
        </w:rPr>
        <w:footnoteRef/>
      </w:r>
      <w:r>
        <w:t xml:space="preserve"> </w:t>
      </w:r>
      <w:hyperlink r:id="rId4" w:history="1">
        <w:r w:rsidRPr="007F5F86">
          <w:rPr>
            <w:rStyle w:val="Lienhypertexte"/>
          </w:rPr>
          <w:t>https://www.concours.agriculture.gouv.fr/espace-telechargement/</w:t>
        </w:r>
      </w:hyperlink>
    </w:p>
  </w:footnote>
  <w:footnote w:id="9">
    <w:p w14:paraId="2E2A124F" w14:textId="77777777" w:rsidR="001C2C3B" w:rsidRDefault="001C2C3B" w:rsidP="001C2C3B">
      <w:pPr>
        <w:pStyle w:val="Notedebasdepage"/>
      </w:pPr>
      <w:r>
        <w:rPr>
          <w:rStyle w:val="Appelnotedebasdep"/>
        </w:rPr>
        <w:footnoteRef/>
      </w:r>
      <w:r>
        <w:t xml:space="preserve"> </w:t>
      </w:r>
      <w:hyperlink r:id="rId5" w:history="1">
        <w:r w:rsidRPr="00082875">
          <w:rPr>
            <w:rStyle w:val="Lienhypertexte"/>
          </w:rPr>
          <w:t>https://formco.agriculture.gouv.fr/sinscrire</w:t>
        </w:r>
      </w:hyperlink>
    </w:p>
  </w:footnote>
  <w:footnote w:id="10">
    <w:p w14:paraId="1F0D1A2C" w14:textId="77777777" w:rsidR="001C2C3B" w:rsidRDefault="001C2C3B" w:rsidP="001C2C3B">
      <w:pPr>
        <w:pStyle w:val="Notedebasdepage"/>
      </w:pPr>
      <w:r>
        <w:rPr>
          <w:rStyle w:val="Appelnotedebasdep"/>
        </w:rPr>
        <w:footnoteRef/>
      </w:r>
      <w:r>
        <w:t xml:space="preserve"> </w:t>
      </w:r>
      <w:r w:rsidRPr="0003409B">
        <w:t>Toutefois, la participation à la formation peut être différée à une session ultérieure dans l’intérêt du service dûment justifié.</w:t>
      </w:r>
    </w:p>
  </w:footnote>
  <w:footnote w:id="11">
    <w:p w14:paraId="4557BC6B" w14:textId="77777777" w:rsidR="001C2C3B" w:rsidRDefault="001C2C3B" w:rsidP="001C2C3B">
      <w:pPr>
        <w:pStyle w:val="Notedebasdepage"/>
      </w:pPr>
      <w:r>
        <w:rPr>
          <w:rStyle w:val="Appelnotedebasdep"/>
        </w:rPr>
        <w:footnoteRef/>
      </w:r>
      <w:r>
        <w:t xml:space="preserve"> Le C</w:t>
      </w:r>
      <w:r w:rsidRPr="001C2C3B">
        <w:t>onseil nationale de l’enseignement agricole privé (CNEAP)</w:t>
      </w:r>
      <w:r>
        <w:t xml:space="preserve"> ou </w:t>
      </w:r>
      <w:r w:rsidRPr="001C2C3B">
        <w:t>l’Union nationale rurale d’éducation et de promotion (UNREP)</w:t>
      </w:r>
    </w:p>
  </w:footnote>
  <w:footnote w:id="12">
    <w:p w14:paraId="1709771F" w14:textId="597434B3" w:rsidR="00BD779F" w:rsidRDefault="00BD779F">
      <w:pPr>
        <w:pStyle w:val="Notedebasdepage"/>
      </w:pPr>
      <w:r>
        <w:rPr>
          <w:rStyle w:val="Appelnotedebasdep"/>
        </w:rPr>
        <w:footnoteRef/>
      </w:r>
      <w:r>
        <w:t xml:space="preserve"> Reconnaissance des acquis de l’expérience</w:t>
      </w:r>
    </w:p>
  </w:footnote>
  <w:footnote w:id="13">
    <w:p w14:paraId="0297FE5A" w14:textId="6DAE825F" w:rsidR="009E1107" w:rsidRDefault="009E1107">
      <w:pPr>
        <w:pStyle w:val="Notedebasdepage"/>
      </w:pPr>
      <w:r>
        <w:rPr>
          <w:rStyle w:val="Appelnotedebasdep"/>
        </w:rPr>
        <w:footnoteRef/>
      </w:r>
      <w:r>
        <w:t xml:space="preserve"> Plateforme régionale d’appui interministériel à la gestion des ressources humaines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49CF4" w14:textId="1F08054C" w:rsidR="0006367C" w:rsidRDefault="0006367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C6F19" w14:textId="11C00935" w:rsidR="0006367C" w:rsidRDefault="0006367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DEFD7" w14:textId="7CF35B71" w:rsidR="0006367C" w:rsidRDefault="0006367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rFonts w:ascii="Times New Roman" w:hAnsi="Times New Roman" w:cs="Arial"/>
        <w:bCs w:val="0"/>
        <w:spacing w:val="0"/>
        <w:sz w:val="20"/>
        <w:lang w:eastAsia="fr-FR"/>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B4D4908"/>
    <w:multiLevelType w:val="hybridMultilevel"/>
    <w:tmpl w:val="DB26DD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81015C"/>
    <w:multiLevelType w:val="hybridMultilevel"/>
    <w:tmpl w:val="6480F2E6"/>
    <w:lvl w:ilvl="0" w:tplc="040C0019">
      <w:start w:val="1"/>
      <w:numFmt w:val="lowerLetter"/>
      <w:lvlText w:val="%1."/>
      <w:lvlJc w:val="left"/>
      <w:pPr>
        <w:ind w:left="2138" w:hanging="360"/>
      </w:pPr>
    </w:lvl>
    <w:lvl w:ilvl="1" w:tplc="040C0001">
      <w:start w:val="1"/>
      <w:numFmt w:val="bullet"/>
      <w:lvlText w:val=""/>
      <w:lvlJc w:val="left"/>
      <w:pPr>
        <w:ind w:left="2858" w:hanging="360"/>
      </w:pPr>
      <w:rPr>
        <w:rFonts w:ascii="Symbol" w:hAnsi="Symbol" w:hint="default"/>
      </w:rPr>
    </w:lvl>
    <w:lvl w:ilvl="2" w:tplc="040C001B" w:tentative="1">
      <w:start w:val="1"/>
      <w:numFmt w:val="lowerRoman"/>
      <w:lvlText w:val="%3."/>
      <w:lvlJc w:val="right"/>
      <w:pPr>
        <w:ind w:left="3578" w:hanging="180"/>
      </w:pPr>
    </w:lvl>
    <w:lvl w:ilvl="3" w:tplc="040C000F" w:tentative="1">
      <w:start w:val="1"/>
      <w:numFmt w:val="decimal"/>
      <w:lvlText w:val="%4."/>
      <w:lvlJc w:val="left"/>
      <w:pPr>
        <w:ind w:left="4298" w:hanging="360"/>
      </w:pPr>
    </w:lvl>
    <w:lvl w:ilvl="4" w:tplc="040C0019" w:tentative="1">
      <w:start w:val="1"/>
      <w:numFmt w:val="lowerLetter"/>
      <w:lvlText w:val="%5."/>
      <w:lvlJc w:val="left"/>
      <w:pPr>
        <w:ind w:left="5018" w:hanging="360"/>
      </w:pPr>
    </w:lvl>
    <w:lvl w:ilvl="5" w:tplc="040C001B" w:tentative="1">
      <w:start w:val="1"/>
      <w:numFmt w:val="lowerRoman"/>
      <w:lvlText w:val="%6."/>
      <w:lvlJc w:val="right"/>
      <w:pPr>
        <w:ind w:left="5738" w:hanging="180"/>
      </w:pPr>
    </w:lvl>
    <w:lvl w:ilvl="6" w:tplc="040C000F" w:tentative="1">
      <w:start w:val="1"/>
      <w:numFmt w:val="decimal"/>
      <w:lvlText w:val="%7."/>
      <w:lvlJc w:val="left"/>
      <w:pPr>
        <w:ind w:left="6458" w:hanging="360"/>
      </w:pPr>
    </w:lvl>
    <w:lvl w:ilvl="7" w:tplc="040C0019" w:tentative="1">
      <w:start w:val="1"/>
      <w:numFmt w:val="lowerLetter"/>
      <w:lvlText w:val="%8."/>
      <w:lvlJc w:val="left"/>
      <w:pPr>
        <w:ind w:left="7178" w:hanging="360"/>
      </w:pPr>
    </w:lvl>
    <w:lvl w:ilvl="8" w:tplc="040C001B" w:tentative="1">
      <w:start w:val="1"/>
      <w:numFmt w:val="lowerRoman"/>
      <w:lvlText w:val="%9."/>
      <w:lvlJc w:val="right"/>
      <w:pPr>
        <w:ind w:left="7898" w:hanging="180"/>
      </w:pPr>
    </w:lvl>
  </w:abstractNum>
  <w:abstractNum w:abstractNumId="3" w15:restartNumberingAfterBreak="0">
    <w:nsid w:val="12295B6C"/>
    <w:multiLevelType w:val="hybridMultilevel"/>
    <w:tmpl w:val="03F2A85A"/>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4" w15:restartNumberingAfterBreak="0">
    <w:nsid w:val="18010E8F"/>
    <w:multiLevelType w:val="hybridMultilevel"/>
    <w:tmpl w:val="46EE994E"/>
    <w:lvl w:ilvl="0" w:tplc="040C0013">
      <w:start w:val="1"/>
      <w:numFmt w:val="upperRoman"/>
      <w:lvlText w:val="%1."/>
      <w:lvlJc w:val="right"/>
      <w:pPr>
        <w:ind w:left="720" w:hanging="360"/>
      </w:pPr>
    </w:lvl>
    <w:lvl w:ilvl="1" w:tplc="040C0019">
      <w:start w:val="1"/>
      <w:numFmt w:val="lowerLetter"/>
      <w:lvlText w:val="%2."/>
      <w:lvlJc w:val="left"/>
      <w:pPr>
        <w:ind w:left="1440" w:hanging="360"/>
      </w:pPr>
    </w:lvl>
    <w:lvl w:ilvl="2" w:tplc="040C000F">
      <w:start w:val="1"/>
      <w:numFmt w:val="decimal"/>
      <w:lvlText w:val="%3."/>
      <w:lvlJc w:val="lef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C244363"/>
    <w:multiLevelType w:val="hybridMultilevel"/>
    <w:tmpl w:val="6DB08D52"/>
    <w:lvl w:ilvl="0" w:tplc="4B346CF4">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C4F1D17"/>
    <w:multiLevelType w:val="hybridMultilevel"/>
    <w:tmpl w:val="C452FBD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19611DA"/>
    <w:multiLevelType w:val="hybridMultilevel"/>
    <w:tmpl w:val="3326C3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F3E732A"/>
    <w:multiLevelType w:val="hybridMultilevel"/>
    <w:tmpl w:val="D6309CEA"/>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15:restartNumberingAfterBreak="0">
    <w:nsid w:val="5017430F"/>
    <w:multiLevelType w:val="hybridMultilevel"/>
    <w:tmpl w:val="9AD2D9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4BD29B8"/>
    <w:multiLevelType w:val="hybridMultilevel"/>
    <w:tmpl w:val="4426D41E"/>
    <w:lvl w:ilvl="0" w:tplc="040C0013">
      <w:start w:val="1"/>
      <w:numFmt w:val="upperRoman"/>
      <w:lvlText w:val="%1."/>
      <w:lvlJc w:val="right"/>
      <w:pPr>
        <w:ind w:left="720" w:hanging="360"/>
      </w:pPr>
    </w:lvl>
    <w:lvl w:ilvl="1" w:tplc="040C0019">
      <w:start w:val="1"/>
      <w:numFmt w:val="lowerLetter"/>
      <w:lvlText w:val="%2."/>
      <w:lvlJc w:val="left"/>
      <w:pPr>
        <w:ind w:left="1778" w:hanging="360"/>
      </w:pPr>
    </w:lvl>
    <w:lvl w:ilvl="2" w:tplc="040C0011">
      <w:start w:val="1"/>
      <w:numFmt w:val="decimal"/>
      <w:lvlText w:val="%3)"/>
      <w:lvlJc w:val="lef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6FC381D"/>
    <w:multiLevelType w:val="hybridMultilevel"/>
    <w:tmpl w:val="C5329E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703445D"/>
    <w:multiLevelType w:val="hybridMultilevel"/>
    <w:tmpl w:val="D9D8CF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D223262"/>
    <w:multiLevelType w:val="hybridMultilevel"/>
    <w:tmpl w:val="5360EBE2"/>
    <w:lvl w:ilvl="0" w:tplc="298659E6">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2B3424A"/>
    <w:multiLevelType w:val="hybridMultilevel"/>
    <w:tmpl w:val="B994D2FA"/>
    <w:lvl w:ilvl="0" w:tplc="040C0019">
      <w:start w:val="1"/>
      <w:numFmt w:val="lowerLetter"/>
      <w:lvlText w:val="%1."/>
      <w:lvlJc w:val="left"/>
      <w:pPr>
        <w:ind w:left="2138" w:hanging="360"/>
      </w:pPr>
    </w:lvl>
    <w:lvl w:ilvl="1" w:tplc="040C0001">
      <w:start w:val="1"/>
      <w:numFmt w:val="bullet"/>
      <w:lvlText w:val=""/>
      <w:lvlJc w:val="left"/>
      <w:pPr>
        <w:ind w:left="2858" w:hanging="360"/>
      </w:pPr>
      <w:rPr>
        <w:rFonts w:ascii="Symbol" w:hAnsi="Symbol" w:hint="default"/>
      </w:rPr>
    </w:lvl>
    <w:lvl w:ilvl="2" w:tplc="040C001B" w:tentative="1">
      <w:start w:val="1"/>
      <w:numFmt w:val="lowerRoman"/>
      <w:lvlText w:val="%3."/>
      <w:lvlJc w:val="right"/>
      <w:pPr>
        <w:ind w:left="3578" w:hanging="180"/>
      </w:pPr>
    </w:lvl>
    <w:lvl w:ilvl="3" w:tplc="040C000F" w:tentative="1">
      <w:start w:val="1"/>
      <w:numFmt w:val="decimal"/>
      <w:lvlText w:val="%4."/>
      <w:lvlJc w:val="left"/>
      <w:pPr>
        <w:ind w:left="4298" w:hanging="360"/>
      </w:pPr>
    </w:lvl>
    <w:lvl w:ilvl="4" w:tplc="040C0019" w:tentative="1">
      <w:start w:val="1"/>
      <w:numFmt w:val="lowerLetter"/>
      <w:lvlText w:val="%5."/>
      <w:lvlJc w:val="left"/>
      <w:pPr>
        <w:ind w:left="5018" w:hanging="360"/>
      </w:pPr>
    </w:lvl>
    <w:lvl w:ilvl="5" w:tplc="040C001B" w:tentative="1">
      <w:start w:val="1"/>
      <w:numFmt w:val="lowerRoman"/>
      <w:lvlText w:val="%6."/>
      <w:lvlJc w:val="right"/>
      <w:pPr>
        <w:ind w:left="5738" w:hanging="180"/>
      </w:pPr>
    </w:lvl>
    <w:lvl w:ilvl="6" w:tplc="040C000F" w:tentative="1">
      <w:start w:val="1"/>
      <w:numFmt w:val="decimal"/>
      <w:lvlText w:val="%7."/>
      <w:lvlJc w:val="left"/>
      <w:pPr>
        <w:ind w:left="6458" w:hanging="360"/>
      </w:pPr>
    </w:lvl>
    <w:lvl w:ilvl="7" w:tplc="040C0019" w:tentative="1">
      <w:start w:val="1"/>
      <w:numFmt w:val="lowerLetter"/>
      <w:lvlText w:val="%8."/>
      <w:lvlJc w:val="left"/>
      <w:pPr>
        <w:ind w:left="7178" w:hanging="360"/>
      </w:pPr>
    </w:lvl>
    <w:lvl w:ilvl="8" w:tplc="040C001B" w:tentative="1">
      <w:start w:val="1"/>
      <w:numFmt w:val="lowerRoman"/>
      <w:lvlText w:val="%9."/>
      <w:lvlJc w:val="right"/>
      <w:pPr>
        <w:ind w:left="7898" w:hanging="180"/>
      </w:pPr>
    </w:lvl>
  </w:abstractNum>
  <w:abstractNum w:abstractNumId="15" w15:restartNumberingAfterBreak="0">
    <w:nsid w:val="638A6CCE"/>
    <w:multiLevelType w:val="hybridMultilevel"/>
    <w:tmpl w:val="B6349D1A"/>
    <w:lvl w:ilvl="0" w:tplc="298659E6">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8746EB2"/>
    <w:multiLevelType w:val="hybridMultilevel"/>
    <w:tmpl w:val="D7624B0A"/>
    <w:lvl w:ilvl="0" w:tplc="040C000F">
      <w:start w:val="1"/>
      <w:numFmt w:val="decimal"/>
      <w:lvlText w:val="%1."/>
      <w:lvlJc w:val="left"/>
      <w:pPr>
        <w:ind w:left="2484" w:hanging="360"/>
      </w:p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17" w15:restartNumberingAfterBreak="0">
    <w:nsid w:val="704A0786"/>
    <w:multiLevelType w:val="hybridMultilevel"/>
    <w:tmpl w:val="BDA4C7EA"/>
    <w:lvl w:ilvl="0" w:tplc="298659E6">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1DE18F6"/>
    <w:multiLevelType w:val="hybridMultilevel"/>
    <w:tmpl w:val="AEAA4E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4582BC3"/>
    <w:multiLevelType w:val="hybridMultilevel"/>
    <w:tmpl w:val="1DE88C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1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6"/>
  </w:num>
  <w:num w:numId="7">
    <w:abstractNumId w:val="7"/>
  </w:num>
  <w:num w:numId="8">
    <w:abstractNumId w:val="8"/>
  </w:num>
  <w:num w:numId="9">
    <w:abstractNumId w:val="16"/>
  </w:num>
  <w:num w:numId="10">
    <w:abstractNumId w:val="5"/>
  </w:num>
  <w:num w:numId="11">
    <w:abstractNumId w:val="10"/>
  </w:num>
  <w:num w:numId="12">
    <w:abstractNumId w:val="4"/>
  </w:num>
  <w:num w:numId="13">
    <w:abstractNumId w:val="3"/>
  </w:num>
  <w:num w:numId="14">
    <w:abstractNumId w:val="15"/>
  </w:num>
  <w:num w:numId="15">
    <w:abstractNumId w:val="2"/>
  </w:num>
  <w:num w:numId="16">
    <w:abstractNumId w:val="17"/>
  </w:num>
  <w:num w:numId="17">
    <w:abstractNumId w:val="13"/>
  </w:num>
  <w:num w:numId="18">
    <w:abstractNumId w:val="12"/>
  </w:num>
  <w:num w:numId="19">
    <w:abstractNumId w:val="14"/>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91E"/>
    <w:rsid w:val="0003409B"/>
    <w:rsid w:val="00037942"/>
    <w:rsid w:val="000420D2"/>
    <w:rsid w:val="0005507C"/>
    <w:rsid w:val="0006367C"/>
    <w:rsid w:val="000A591E"/>
    <w:rsid w:val="000B0F07"/>
    <w:rsid w:val="000C3C83"/>
    <w:rsid w:val="000E2BD8"/>
    <w:rsid w:val="000F13F9"/>
    <w:rsid w:val="0010365C"/>
    <w:rsid w:val="0013103D"/>
    <w:rsid w:val="001B43E5"/>
    <w:rsid w:val="001B56CB"/>
    <w:rsid w:val="001C2C3B"/>
    <w:rsid w:val="001F649D"/>
    <w:rsid w:val="002009C9"/>
    <w:rsid w:val="002461C4"/>
    <w:rsid w:val="00310550"/>
    <w:rsid w:val="00312160"/>
    <w:rsid w:val="00312CC5"/>
    <w:rsid w:val="003606CA"/>
    <w:rsid w:val="003618A9"/>
    <w:rsid w:val="003F56D5"/>
    <w:rsid w:val="004209F1"/>
    <w:rsid w:val="00434139"/>
    <w:rsid w:val="00456D59"/>
    <w:rsid w:val="004912A1"/>
    <w:rsid w:val="004F109A"/>
    <w:rsid w:val="00513A90"/>
    <w:rsid w:val="00520BFF"/>
    <w:rsid w:val="00547900"/>
    <w:rsid w:val="0055292D"/>
    <w:rsid w:val="005A162D"/>
    <w:rsid w:val="005C046F"/>
    <w:rsid w:val="005F1356"/>
    <w:rsid w:val="005F53CF"/>
    <w:rsid w:val="00656EFA"/>
    <w:rsid w:val="00661B54"/>
    <w:rsid w:val="00664278"/>
    <w:rsid w:val="006C00F9"/>
    <w:rsid w:val="006D7AEB"/>
    <w:rsid w:val="0070753F"/>
    <w:rsid w:val="00721BC3"/>
    <w:rsid w:val="007505E2"/>
    <w:rsid w:val="0076786E"/>
    <w:rsid w:val="007D347E"/>
    <w:rsid w:val="007D4FB7"/>
    <w:rsid w:val="007F5F86"/>
    <w:rsid w:val="00802810"/>
    <w:rsid w:val="008032C5"/>
    <w:rsid w:val="00813321"/>
    <w:rsid w:val="008460C7"/>
    <w:rsid w:val="008603F0"/>
    <w:rsid w:val="008604F8"/>
    <w:rsid w:val="008628EB"/>
    <w:rsid w:val="0089269B"/>
    <w:rsid w:val="008B0A7B"/>
    <w:rsid w:val="008B1611"/>
    <w:rsid w:val="008C73DA"/>
    <w:rsid w:val="008D5575"/>
    <w:rsid w:val="009020E0"/>
    <w:rsid w:val="009138B0"/>
    <w:rsid w:val="00935686"/>
    <w:rsid w:val="00941A4A"/>
    <w:rsid w:val="009506BF"/>
    <w:rsid w:val="009C32A5"/>
    <w:rsid w:val="009E1107"/>
    <w:rsid w:val="00A044DE"/>
    <w:rsid w:val="00A27555"/>
    <w:rsid w:val="00A75F43"/>
    <w:rsid w:val="00A85963"/>
    <w:rsid w:val="00AD1DF6"/>
    <w:rsid w:val="00AD2BAB"/>
    <w:rsid w:val="00AE4EC5"/>
    <w:rsid w:val="00B161FB"/>
    <w:rsid w:val="00B241D8"/>
    <w:rsid w:val="00B459B0"/>
    <w:rsid w:val="00B966AD"/>
    <w:rsid w:val="00BD779F"/>
    <w:rsid w:val="00C4304A"/>
    <w:rsid w:val="00C43974"/>
    <w:rsid w:val="00C635B5"/>
    <w:rsid w:val="00C74EEB"/>
    <w:rsid w:val="00C834E2"/>
    <w:rsid w:val="00CA0A37"/>
    <w:rsid w:val="00CA505F"/>
    <w:rsid w:val="00CF25BE"/>
    <w:rsid w:val="00D05BB0"/>
    <w:rsid w:val="00D1394D"/>
    <w:rsid w:val="00D13E41"/>
    <w:rsid w:val="00D251BF"/>
    <w:rsid w:val="00D36562"/>
    <w:rsid w:val="00D43EA4"/>
    <w:rsid w:val="00D50555"/>
    <w:rsid w:val="00D72CB2"/>
    <w:rsid w:val="00DD471D"/>
    <w:rsid w:val="00E14F87"/>
    <w:rsid w:val="00E86190"/>
    <w:rsid w:val="00EF1BDD"/>
    <w:rsid w:val="00F035DC"/>
    <w:rsid w:val="00F310A0"/>
    <w:rsid w:val="00FC543A"/>
    <w:rsid w:val="00FD7838"/>
    <w:rsid w:val="00FE1D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7F1F2A"/>
  <w15:chartTrackingRefBased/>
  <w15:docId w15:val="{3B8E529C-4332-4A60-B356-CB0E46738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A591E"/>
    <w:pPr>
      <w:ind w:left="720"/>
      <w:contextualSpacing/>
    </w:pPr>
  </w:style>
  <w:style w:type="character" w:styleId="Marquedecommentaire">
    <w:name w:val="annotation reference"/>
    <w:basedOn w:val="Policepardfaut"/>
    <w:uiPriority w:val="99"/>
    <w:semiHidden/>
    <w:unhideWhenUsed/>
    <w:rsid w:val="00037942"/>
    <w:rPr>
      <w:sz w:val="16"/>
      <w:szCs w:val="16"/>
    </w:rPr>
  </w:style>
  <w:style w:type="paragraph" w:styleId="Commentaire">
    <w:name w:val="annotation text"/>
    <w:basedOn w:val="Normal"/>
    <w:link w:val="CommentaireCar"/>
    <w:uiPriority w:val="99"/>
    <w:semiHidden/>
    <w:unhideWhenUsed/>
    <w:rsid w:val="00037942"/>
    <w:pPr>
      <w:spacing w:line="240" w:lineRule="auto"/>
    </w:pPr>
    <w:rPr>
      <w:sz w:val="20"/>
      <w:szCs w:val="20"/>
    </w:rPr>
  </w:style>
  <w:style w:type="character" w:customStyle="1" w:styleId="CommentaireCar">
    <w:name w:val="Commentaire Car"/>
    <w:basedOn w:val="Policepardfaut"/>
    <w:link w:val="Commentaire"/>
    <w:uiPriority w:val="99"/>
    <w:semiHidden/>
    <w:rsid w:val="00037942"/>
    <w:rPr>
      <w:sz w:val="20"/>
      <w:szCs w:val="20"/>
    </w:rPr>
  </w:style>
  <w:style w:type="paragraph" w:styleId="Objetducommentaire">
    <w:name w:val="annotation subject"/>
    <w:basedOn w:val="Commentaire"/>
    <w:next w:val="Commentaire"/>
    <w:link w:val="ObjetducommentaireCar"/>
    <w:uiPriority w:val="99"/>
    <w:semiHidden/>
    <w:unhideWhenUsed/>
    <w:rsid w:val="00037942"/>
    <w:rPr>
      <w:b/>
      <w:bCs/>
    </w:rPr>
  </w:style>
  <w:style w:type="character" w:customStyle="1" w:styleId="ObjetducommentaireCar">
    <w:name w:val="Objet du commentaire Car"/>
    <w:basedOn w:val="CommentaireCar"/>
    <w:link w:val="Objetducommentaire"/>
    <w:uiPriority w:val="99"/>
    <w:semiHidden/>
    <w:rsid w:val="00037942"/>
    <w:rPr>
      <w:b/>
      <w:bCs/>
      <w:sz w:val="20"/>
      <w:szCs w:val="20"/>
    </w:rPr>
  </w:style>
  <w:style w:type="paragraph" w:styleId="Textedebulles">
    <w:name w:val="Balloon Text"/>
    <w:basedOn w:val="Normal"/>
    <w:link w:val="TextedebullesCar"/>
    <w:uiPriority w:val="99"/>
    <w:semiHidden/>
    <w:unhideWhenUsed/>
    <w:rsid w:val="0003794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37942"/>
    <w:rPr>
      <w:rFonts w:ascii="Segoe UI" w:hAnsi="Segoe UI" w:cs="Segoe UI"/>
      <w:sz w:val="18"/>
      <w:szCs w:val="18"/>
    </w:rPr>
  </w:style>
  <w:style w:type="character" w:styleId="Lienhypertexte">
    <w:name w:val="Hyperlink"/>
    <w:basedOn w:val="Policepardfaut"/>
    <w:uiPriority w:val="99"/>
    <w:unhideWhenUsed/>
    <w:rsid w:val="0010365C"/>
    <w:rPr>
      <w:color w:val="0563C1" w:themeColor="hyperlink"/>
      <w:u w:val="single"/>
    </w:rPr>
  </w:style>
  <w:style w:type="paragraph" w:styleId="Notedebasdepage">
    <w:name w:val="footnote text"/>
    <w:basedOn w:val="Normal"/>
    <w:link w:val="NotedebasdepageCar"/>
    <w:uiPriority w:val="99"/>
    <w:semiHidden/>
    <w:unhideWhenUsed/>
    <w:rsid w:val="0043413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34139"/>
    <w:rPr>
      <w:sz w:val="20"/>
      <w:szCs w:val="20"/>
    </w:rPr>
  </w:style>
  <w:style w:type="character" w:styleId="Appelnotedebasdep">
    <w:name w:val="footnote reference"/>
    <w:basedOn w:val="Policepardfaut"/>
    <w:uiPriority w:val="99"/>
    <w:semiHidden/>
    <w:unhideWhenUsed/>
    <w:rsid w:val="00434139"/>
    <w:rPr>
      <w:vertAlign w:val="superscript"/>
    </w:rPr>
  </w:style>
  <w:style w:type="table" w:styleId="Grilledutableau">
    <w:name w:val="Table Grid"/>
    <w:basedOn w:val="TableauNormal"/>
    <w:uiPriority w:val="39"/>
    <w:rsid w:val="005C0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85963"/>
    <w:pPr>
      <w:tabs>
        <w:tab w:val="center" w:pos="4536"/>
        <w:tab w:val="right" w:pos="9072"/>
      </w:tabs>
      <w:spacing w:after="0" w:line="240" w:lineRule="auto"/>
    </w:pPr>
  </w:style>
  <w:style w:type="character" w:customStyle="1" w:styleId="En-tteCar">
    <w:name w:val="En-tête Car"/>
    <w:basedOn w:val="Policepardfaut"/>
    <w:link w:val="En-tte"/>
    <w:uiPriority w:val="99"/>
    <w:rsid w:val="00A85963"/>
  </w:style>
  <w:style w:type="paragraph" w:styleId="Pieddepage">
    <w:name w:val="footer"/>
    <w:basedOn w:val="Normal"/>
    <w:link w:val="PieddepageCar"/>
    <w:uiPriority w:val="99"/>
    <w:unhideWhenUsed/>
    <w:rsid w:val="00A8596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859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feap.f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maformationagricole.com"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safire.fonction-publique.gouv.fr/" TargetMode="External"/><Relationship Id="rId2" Type="http://schemas.openxmlformats.org/officeDocument/2006/relationships/hyperlink" Target="https://formco.agriculture.gouv.fr/trouver-une-formation/dispositifs-specifiques/preparation-examens-et-concours" TargetMode="External"/><Relationship Id="rId1" Type="http://schemas.openxmlformats.org/officeDocument/2006/relationships/hyperlink" Target="https://concours.agriculture.gouv.fr" TargetMode="External"/><Relationship Id="rId5" Type="http://schemas.openxmlformats.org/officeDocument/2006/relationships/hyperlink" Target="https://formco.agriculture.gouv.fr/sinscrire" TargetMode="External"/><Relationship Id="rId4" Type="http://schemas.openxmlformats.org/officeDocument/2006/relationships/hyperlink" Target="https://www.concours.agriculture.gouv.fr/espace-telechargemen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2E5E2-28E7-4075-BC4D-86BC98163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1532</Words>
  <Characters>8427</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Delphine LASNE</dc:creator>
  <cp:keywords/>
  <dc:description/>
  <cp:lastModifiedBy>Delphine LASNE</cp:lastModifiedBy>
  <cp:revision>5</cp:revision>
  <dcterms:created xsi:type="dcterms:W3CDTF">2022-11-09T12:49:00Z</dcterms:created>
  <dcterms:modified xsi:type="dcterms:W3CDTF">2022-11-17T15:49:00Z</dcterms:modified>
</cp:coreProperties>
</file>