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991D0" w14:textId="51C43E7A" w:rsidR="00B2553B" w:rsidRPr="003A4D35" w:rsidRDefault="00B2553B" w:rsidP="003A4D35">
      <w:pPr>
        <w:spacing w:before="120" w:after="240"/>
        <w:jc w:val="right"/>
        <w:rPr>
          <w:b/>
          <w:color w:val="538135" w:themeColor="accent6" w:themeShade="BF"/>
          <w:sz w:val="28"/>
          <w:szCs w:val="28"/>
        </w:rPr>
      </w:pPr>
      <w:r w:rsidRPr="003A4D35">
        <w:rPr>
          <w:b/>
          <w:color w:val="538135" w:themeColor="accent6" w:themeShade="BF"/>
          <w:sz w:val="28"/>
          <w:szCs w:val="28"/>
        </w:rPr>
        <w:t>Fiche n°</w:t>
      </w:r>
      <w:r w:rsidR="00BF519A">
        <w:rPr>
          <w:b/>
          <w:color w:val="538135" w:themeColor="accent6" w:themeShade="BF"/>
          <w:sz w:val="28"/>
          <w:szCs w:val="28"/>
        </w:rPr>
        <w:t>11</w:t>
      </w:r>
    </w:p>
    <w:tbl>
      <w:tblPr>
        <w:tblStyle w:val="Grilledutableau"/>
        <w:tblW w:w="0" w:type="auto"/>
        <w:tblBorders>
          <w:top w:val="double" w:sz="12" w:space="0" w:color="70AD47" w:themeColor="accent6"/>
          <w:left w:val="double" w:sz="12" w:space="0" w:color="70AD47" w:themeColor="accent6"/>
          <w:bottom w:val="double" w:sz="12" w:space="0" w:color="70AD47" w:themeColor="accent6"/>
          <w:right w:val="double" w:sz="12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3A4D35" w14:paraId="70B51327" w14:textId="77777777" w:rsidTr="003D589E">
        <w:tc>
          <w:tcPr>
            <w:tcW w:w="8982" w:type="dxa"/>
          </w:tcPr>
          <w:p w14:paraId="1E71040C" w14:textId="6B502831" w:rsidR="003A4D35" w:rsidRDefault="00F135DB" w:rsidP="00BF519A">
            <w:pPr>
              <w:spacing w:before="240" w:after="240"/>
              <w:jc w:val="center"/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 xml:space="preserve">Le </w:t>
            </w:r>
            <w:r w:rsidR="00BF519A">
              <w:rPr>
                <w:b/>
                <w:color w:val="538135" w:themeColor="accent6" w:themeShade="BF"/>
                <w:sz w:val="28"/>
                <w:szCs w:val="28"/>
              </w:rPr>
              <w:t>congé de transition professionnelle</w:t>
            </w:r>
            <w:r w:rsidR="00D81E2C">
              <w:rPr>
                <w:b/>
                <w:color w:val="538135" w:themeColor="accent6" w:themeShade="BF"/>
                <w:sz w:val="28"/>
                <w:szCs w:val="28"/>
              </w:rPr>
              <w:t xml:space="preserve"> (CTP)</w:t>
            </w:r>
          </w:p>
        </w:tc>
      </w:tr>
    </w:tbl>
    <w:p w14:paraId="4A02B54F" w14:textId="77777777" w:rsidR="00B2553B" w:rsidRDefault="00B2553B" w:rsidP="007771E7">
      <w:pPr>
        <w:spacing w:before="120" w:after="0"/>
        <w:jc w:val="both"/>
      </w:pPr>
    </w:p>
    <w:p w14:paraId="5026C598" w14:textId="4A367C55" w:rsidR="0002518E" w:rsidRPr="003A4D35" w:rsidRDefault="00F135DB" w:rsidP="003A4D35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pacing w:before="360" w:after="180"/>
        <w:jc w:val="both"/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 xml:space="preserve">Qu’est-ce que le </w:t>
      </w:r>
      <w:r w:rsidR="00BF519A">
        <w:rPr>
          <w:b/>
          <w:color w:val="538135" w:themeColor="accent6" w:themeShade="BF"/>
          <w:sz w:val="24"/>
          <w:szCs w:val="24"/>
        </w:rPr>
        <w:t xml:space="preserve">congé de transition professionnelle </w:t>
      </w:r>
      <w:r w:rsidR="0002518E" w:rsidRPr="003A4D35">
        <w:rPr>
          <w:b/>
          <w:color w:val="538135" w:themeColor="accent6" w:themeShade="BF"/>
          <w:sz w:val="24"/>
          <w:szCs w:val="24"/>
        </w:rPr>
        <w:t xml:space="preserve">? </w:t>
      </w:r>
    </w:p>
    <w:p w14:paraId="5630A131" w14:textId="6C850B37" w:rsidR="00A919AD" w:rsidRDefault="00F741AE" w:rsidP="00F741AE">
      <w:pPr>
        <w:pStyle w:val="Paragraphedeliste"/>
        <w:ind w:left="0"/>
        <w:jc w:val="both"/>
      </w:pPr>
      <w:r>
        <w:t>Le congé de transition professionnelle a pour objet de permettre à certain</w:t>
      </w:r>
      <w:r w:rsidR="00D81E2C">
        <w:t>s</w:t>
      </w:r>
      <w:r>
        <w:t xml:space="preserve"> agent</w:t>
      </w:r>
      <w:r w:rsidR="00D81E2C">
        <w:t>s</w:t>
      </w:r>
      <w:r>
        <w:t xml:space="preserve"> de suivre une action ou un parcours de formation en vue </w:t>
      </w:r>
      <w:r w:rsidRPr="00BC28D6">
        <w:rPr>
          <w:b/>
        </w:rPr>
        <w:t>d’exercer un nouveau métier</w:t>
      </w:r>
      <w:r>
        <w:t xml:space="preserve"> au sein du secteur public ou du secteur privé</w:t>
      </w:r>
      <w:r w:rsidR="00895635">
        <w:t xml:space="preserve"> sur un temps long (maximum 1 année)</w:t>
      </w:r>
      <w:r>
        <w:t xml:space="preserve">. </w:t>
      </w:r>
    </w:p>
    <w:p w14:paraId="470C4114" w14:textId="2462D7B7" w:rsidR="00167CD4" w:rsidRDefault="00167CD4" w:rsidP="00F741AE">
      <w:pPr>
        <w:pStyle w:val="Paragraphedeliste"/>
        <w:ind w:left="0"/>
        <w:jc w:val="both"/>
      </w:pPr>
    </w:p>
    <w:p w14:paraId="7EFA5421" w14:textId="48CDC4BD" w:rsidR="00167CD4" w:rsidRDefault="00167CD4" w:rsidP="00F741AE">
      <w:pPr>
        <w:pStyle w:val="Paragraphedeliste"/>
        <w:ind w:left="0"/>
        <w:jc w:val="both"/>
      </w:pPr>
      <w:r>
        <w:t xml:space="preserve">L’action </w:t>
      </w:r>
      <w:r w:rsidR="004755B1">
        <w:t xml:space="preserve">ou le parcours de </w:t>
      </w:r>
      <w:r>
        <w:t>formation</w:t>
      </w:r>
      <w:r w:rsidR="004755B1">
        <w:t xml:space="preserve"> envisager doit être au service d’un projet d’évolution professionnelle</w:t>
      </w:r>
      <w:r w:rsidR="00A96DB8">
        <w:t xml:space="preserve"> en</w:t>
      </w:r>
      <w:r w:rsidR="004755B1">
        <w:t xml:space="preserve"> vue d’exercer un nouveau métier selon deux modalités : </w:t>
      </w:r>
    </w:p>
    <w:p w14:paraId="63FB034F" w14:textId="5335E8D8" w:rsidR="004755B1" w:rsidRDefault="004755B1" w:rsidP="004755B1">
      <w:pPr>
        <w:pStyle w:val="Paragraphedeliste"/>
        <w:numPr>
          <w:ilvl w:val="0"/>
          <w:numId w:val="29"/>
        </w:numPr>
        <w:jc w:val="both"/>
      </w:pPr>
      <w:r>
        <w:t>L</w:t>
      </w:r>
      <w:r w:rsidRPr="004755B1">
        <w:t>a durée</w:t>
      </w:r>
      <w:r>
        <w:t xml:space="preserve"> de l’action de formation ou du parcours de formation</w:t>
      </w:r>
      <w:r w:rsidRPr="004755B1">
        <w:t xml:space="preserve"> est comprise entre </w:t>
      </w:r>
      <w:r w:rsidRPr="0099703A">
        <w:rPr>
          <w:b/>
        </w:rPr>
        <w:t>une durée</w:t>
      </w:r>
      <w:r w:rsidRPr="004755B1">
        <w:t xml:space="preserve"> </w:t>
      </w:r>
      <w:r w:rsidRPr="0099703A">
        <w:rPr>
          <w:b/>
        </w:rPr>
        <w:t>égale ou supérieure à 120 heures et une durée maximale d’un an</w:t>
      </w:r>
      <w:r>
        <w:t xml:space="preserve">. Cette action ou </w:t>
      </w:r>
      <w:r w:rsidR="00F62271">
        <w:t xml:space="preserve">ce </w:t>
      </w:r>
      <w:r>
        <w:t xml:space="preserve">parcours de formation doit être </w:t>
      </w:r>
      <w:r w:rsidR="0099703A">
        <w:t>sanctionné</w:t>
      </w:r>
      <w:r w:rsidRPr="00E14E0E">
        <w:t xml:space="preserve"> par une certification professionnelle enregistrée au répertoire national prévu à l'article L. 6113-1 du code du travail, par une attestation de validation de blocs de compétences au sens du même article ou par une certification ou habilitation enregistrée dans le répertoire spécifique mentionné à l'article L. 6113-6 du même code</w:t>
      </w:r>
      <w:r>
        <w:t>.</w:t>
      </w:r>
    </w:p>
    <w:p w14:paraId="7951C137" w14:textId="4A8ED756" w:rsidR="004755B1" w:rsidRDefault="004755B1" w:rsidP="004755B1">
      <w:pPr>
        <w:pStyle w:val="Paragraphedeliste"/>
        <w:numPr>
          <w:ilvl w:val="0"/>
          <w:numId w:val="29"/>
        </w:numPr>
        <w:jc w:val="both"/>
      </w:pPr>
      <w:r>
        <w:t>La durée de l’action de formation ou du parcours de formation est comprise entre</w:t>
      </w:r>
      <w:r w:rsidRPr="004755B1">
        <w:t xml:space="preserve"> </w:t>
      </w:r>
      <w:r w:rsidRPr="0099703A">
        <w:rPr>
          <w:b/>
        </w:rPr>
        <w:t>une durée égale ou supérieure à 70 heures et une durée maximale d’un an</w:t>
      </w:r>
      <w:r>
        <w:t>. L’a</w:t>
      </w:r>
      <w:r w:rsidRPr="004755B1">
        <w:t xml:space="preserve">ction ou </w:t>
      </w:r>
      <w:r>
        <w:t xml:space="preserve">le </w:t>
      </w:r>
      <w:r w:rsidRPr="004755B1">
        <w:t xml:space="preserve">parcours de formation </w:t>
      </w:r>
      <w:r>
        <w:t>permet</w:t>
      </w:r>
      <w:r w:rsidRPr="004755B1">
        <w:t xml:space="preserve"> d'accompagner et de conseiller les créateurs ou repreneurs d'entreprises</w:t>
      </w:r>
      <w:r>
        <w:t>.</w:t>
      </w:r>
    </w:p>
    <w:p w14:paraId="59EF9D47" w14:textId="1EF24F4C" w:rsidR="0002518E" w:rsidRPr="003A4D35" w:rsidRDefault="0002518E" w:rsidP="003A4D35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pacing w:before="360" w:after="180"/>
        <w:jc w:val="both"/>
        <w:rPr>
          <w:b/>
          <w:color w:val="538135" w:themeColor="accent6" w:themeShade="BF"/>
          <w:sz w:val="24"/>
          <w:szCs w:val="24"/>
        </w:rPr>
      </w:pPr>
      <w:r w:rsidRPr="003A4D35">
        <w:rPr>
          <w:b/>
          <w:color w:val="538135" w:themeColor="accent6" w:themeShade="BF"/>
          <w:sz w:val="24"/>
          <w:szCs w:val="24"/>
        </w:rPr>
        <w:t xml:space="preserve">Qui peut mobiliser </w:t>
      </w:r>
      <w:r w:rsidR="00F135DB">
        <w:rPr>
          <w:b/>
          <w:color w:val="538135" w:themeColor="accent6" w:themeShade="BF"/>
          <w:sz w:val="24"/>
          <w:szCs w:val="24"/>
        </w:rPr>
        <w:t xml:space="preserve">le </w:t>
      </w:r>
      <w:r w:rsidR="00BF519A">
        <w:rPr>
          <w:b/>
          <w:color w:val="538135" w:themeColor="accent6" w:themeShade="BF"/>
          <w:sz w:val="24"/>
          <w:szCs w:val="24"/>
        </w:rPr>
        <w:t xml:space="preserve">congé de transition professionnelle </w:t>
      </w:r>
      <w:r w:rsidRPr="003A4D35">
        <w:rPr>
          <w:b/>
          <w:color w:val="538135" w:themeColor="accent6" w:themeShade="BF"/>
          <w:sz w:val="24"/>
          <w:szCs w:val="24"/>
        </w:rPr>
        <w:t>?</w:t>
      </w:r>
    </w:p>
    <w:p w14:paraId="35DAAD71" w14:textId="22BE3A64" w:rsidR="009F2517" w:rsidRPr="009F2517" w:rsidRDefault="009F2517" w:rsidP="009F2517">
      <w:pPr>
        <w:pStyle w:val="Paragraphedeliste"/>
        <w:numPr>
          <w:ilvl w:val="0"/>
          <w:numId w:val="20"/>
        </w:numPr>
        <w:spacing w:before="120" w:after="0"/>
        <w:jc w:val="both"/>
      </w:pPr>
      <w:r>
        <w:rPr>
          <w:b/>
          <w:color w:val="538135" w:themeColor="accent6" w:themeShade="BF"/>
          <w:sz w:val="24"/>
          <w:szCs w:val="24"/>
        </w:rPr>
        <w:t xml:space="preserve">Les agents en situation de restructuration de service </w:t>
      </w:r>
    </w:p>
    <w:p w14:paraId="6B65A120" w14:textId="476E2040" w:rsidR="009F2517" w:rsidRDefault="009F2517" w:rsidP="009F2517">
      <w:pPr>
        <w:spacing w:before="120" w:after="0"/>
        <w:jc w:val="both"/>
      </w:pPr>
      <w:r>
        <w:t xml:space="preserve">Pour bénéficier du congé de transition professionnelle, il faut que : </w:t>
      </w:r>
    </w:p>
    <w:p w14:paraId="34E33246" w14:textId="413143DF" w:rsidR="009F2517" w:rsidRDefault="00D81E2C" w:rsidP="00D81E2C">
      <w:pPr>
        <w:pStyle w:val="Paragraphedeliste"/>
        <w:numPr>
          <w:ilvl w:val="0"/>
          <w:numId w:val="25"/>
        </w:numPr>
        <w:spacing w:before="120" w:after="0"/>
        <w:ind w:left="714" w:hanging="357"/>
        <w:contextualSpacing w:val="0"/>
        <w:jc w:val="both"/>
      </w:pPr>
      <w:proofErr w:type="gramStart"/>
      <w:r>
        <w:t>l</w:t>
      </w:r>
      <w:r w:rsidR="009F2517">
        <w:t>’agent</w:t>
      </w:r>
      <w:proofErr w:type="gramEnd"/>
      <w:r w:rsidR="009F2517">
        <w:t xml:space="preserve"> soit affecté dans un service de l’</w:t>
      </w:r>
      <w:r w:rsidR="00895635">
        <w:t>É</w:t>
      </w:r>
      <w:r w:rsidR="009F2517">
        <w:t xml:space="preserve">tat faisant l’objet </w:t>
      </w:r>
      <w:r w:rsidR="009F2517" w:rsidRPr="0099703A">
        <w:rPr>
          <w:b/>
        </w:rPr>
        <w:t>d’un arrêté de restructuration</w:t>
      </w:r>
      <w:r w:rsidR="00A96DB8">
        <w:rPr>
          <w:b/>
        </w:rPr>
        <w:t xml:space="preserve"> qui prévoit cette modalité d’accompagnement</w:t>
      </w:r>
      <w:r w:rsidR="009F2517">
        <w:t xml:space="preserve"> ;</w:t>
      </w:r>
    </w:p>
    <w:p w14:paraId="0B0C85C5" w14:textId="2A2CB7E5" w:rsidR="009F2517" w:rsidRDefault="00D81E2C" w:rsidP="00D81E2C">
      <w:pPr>
        <w:pStyle w:val="Paragraphedeliste"/>
        <w:numPr>
          <w:ilvl w:val="0"/>
          <w:numId w:val="25"/>
        </w:numPr>
        <w:spacing w:before="120" w:after="0"/>
        <w:ind w:left="714" w:hanging="357"/>
        <w:contextualSpacing w:val="0"/>
        <w:jc w:val="both"/>
      </w:pPr>
      <w:proofErr w:type="gramStart"/>
      <w:r>
        <w:t>l</w:t>
      </w:r>
      <w:r w:rsidR="009F2517">
        <w:t>’emploi</w:t>
      </w:r>
      <w:proofErr w:type="gramEnd"/>
      <w:r w:rsidR="009F2517">
        <w:t xml:space="preserve"> occupé par l’agent soit supprimé o</w:t>
      </w:r>
      <w:r>
        <w:t>u susceptible d’être supprimé.</w:t>
      </w:r>
    </w:p>
    <w:p w14:paraId="43012DC0" w14:textId="0BB867AC" w:rsidR="009F2517" w:rsidRDefault="009F2517" w:rsidP="009F2517">
      <w:pPr>
        <w:spacing w:before="120" w:after="0"/>
        <w:jc w:val="both"/>
      </w:pPr>
      <w:r>
        <w:t>Seuls les fonctionnaires ou les agents non titulaires de l’</w:t>
      </w:r>
      <w:r w:rsidR="00895635">
        <w:t>É</w:t>
      </w:r>
      <w:r>
        <w:t>tat de droit public recrutés pour une durée indéterminée peuvent en bénéficier.</w:t>
      </w:r>
    </w:p>
    <w:p w14:paraId="24DC7373" w14:textId="5A6580B5" w:rsidR="00BC28D6" w:rsidRPr="009F2517" w:rsidRDefault="00D81E2C" w:rsidP="009F2517">
      <w:pPr>
        <w:spacing w:before="120" w:after="0"/>
        <w:jc w:val="both"/>
      </w:pPr>
      <w:r>
        <w:t>Une p</w:t>
      </w:r>
      <w:r w:rsidR="00BC28D6">
        <w:t xml:space="preserve">riorité est </w:t>
      </w:r>
      <w:r>
        <w:t xml:space="preserve">par ailleurs </w:t>
      </w:r>
      <w:r w:rsidR="00BC28D6">
        <w:t xml:space="preserve">donnée aux agents sur lettre de mission </w:t>
      </w:r>
      <w:r>
        <w:t>à la suite</w:t>
      </w:r>
      <w:r w:rsidR="00BC28D6">
        <w:t xml:space="preserve"> de la restructuration.</w:t>
      </w:r>
    </w:p>
    <w:p w14:paraId="37F40EE2" w14:textId="097AE181" w:rsidR="009F2517" w:rsidRDefault="009F2517" w:rsidP="009F2517">
      <w:pPr>
        <w:pStyle w:val="Paragraphedeliste"/>
        <w:numPr>
          <w:ilvl w:val="0"/>
          <w:numId w:val="20"/>
        </w:numPr>
        <w:spacing w:before="120" w:after="0"/>
        <w:jc w:val="both"/>
      </w:pPr>
      <w:r>
        <w:rPr>
          <w:b/>
          <w:color w:val="538135" w:themeColor="accent6" w:themeShade="BF"/>
          <w:sz w:val="24"/>
          <w:szCs w:val="24"/>
        </w:rPr>
        <w:t>Les agents dont la formation est favorisée</w:t>
      </w:r>
      <w:r w:rsidR="00D81E2C">
        <w:rPr>
          <w:b/>
          <w:color w:val="538135" w:themeColor="accent6" w:themeShade="BF"/>
          <w:sz w:val="24"/>
          <w:szCs w:val="24"/>
        </w:rPr>
        <w:t xml:space="preserve"> (cf. fiche n°10)</w:t>
      </w:r>
    </w:p>
    <w:p w14:paraId="7E009C0E" w14:textId="362EF10D" w:rsidR="009F2517" w:rsidRDefault="009F2517" w:rsidP="00D81E2C">
      <w:pPr>
        <w:spacing w:before="120" w:after="0"/>
        <w:jc w:val="both"/>
      </w:pPr>
      <w:r>
        <w:t xml:space="preserve">Il s’agit des agents </w:t>
      </w:r>
      <w:r w:rsidR="00D81E2C">
        <w:t>mentionnés</w:t>
      </w:r>
      <w:r>
        <w:t xml:space="preserve"> à l’article L</w:t>
      </w:r>
      <w:r w:rsidR="00D81E2C">
        <w:t xml:space="preserve">. </w:t>
      </w:r>
      <w:r>
        <w:t>422-3 du code général de la fonction publique</w:t>
      </w:r>
      <w:r w:rsidR="00D81E2C">
        <w:t> :</w:t>
      </w:r>
    </w:p>
    <w:p w14:paraId="2BD9E0DB" w14:textId="0CE65901" w:rsidR="009F2517" w:rsidRDefault="00A23DF7" w:rsidP="00D81E2C">
      <w:pPr>
        <w:pStyle w:val="Paragraphedeliste"/>
        <w:numPr>
          <w:ilvl w:val="0"/>
          <w:numId w:val="21"/>
        </w:numPr>
        <w:spacing w:before="120" w:after="0"/>
        <w:contextualSpacing w:val="0"/>
        <w:jc w:val="both"/>
      </w:pPr>
      <w:proofErr w:type="gramStart"/>
      <w:r>
        <w:t>l</w:t>
      </w:r>
      <w:r w:rsidR="009F2517">
        <w:t>’agent</w:t>
      </w:r>
      <w:proofErr w:type="gramEnd"/>
      <w:r w:rsidR="009F2517">
        <w:t xml:space="preserve"> qui appartient à un corps ou cadre d’emplois de catégorie C et qui n’a pas atteint un niveau de formation sanctionné par un diplôme ou titre professionnel enregistré et classé de niveau 4 au RNCP (agent n’ayant pas le baccalauréat)</w:t>
      </w:r>
      <w:r w:rsidR="00895635">
        <w:t> ;</w:t>
      </w:r>
    </w:p>
    <w:p w14:paraId="609406E6" w14:textId="7D4C65CD" w:rsidR="009F2517" w:rsidRDefault="00A23DF7" w:rsidP="00D81E2C">
      <w:pPr>
        <w:pStyle w:val="Paragraphedeliste"/>
        <w:numPr>
          <w:ilvl w:val="0"/>
          <w:numId w:val="21"/>
        </w:numPr>
        <w:spacing w:before="120" w:after="0"/>
        <w:contextualSpacing w:val="0"/>
        <w:jc w:val="both"/>
      </w:pPr>
      <w:proofErr w:type="gramStart"/>
      <w:r>
        <w:lastRenderedPageBreak/>
        <w:t>l</w:t>
      </w:r>
      <w:r w:rsidR="009F2517">
        <w:t>’agent</w:t>
      </w:r>
      <w:proofErr w:type="gramEnd"/>
      <w:r w:rsidR="009F2517">
        <w:t xml:space="preserve"> reconnu comme travailleur handicapé, mutilé de guerre ou assimilé appartenant à</w:t>
      </w:r>
      <w:r w:rsidR="00D81E2C">
        <w:t xml:space="preserve"> certaines catégories listées à l’article L. 422-3 </w:t>
      </w:r>
      <w:r>
        <w:t>susmentionné</w:t>
      </w:r>
      <w:r w:rsidR="00D81E2C">
        <w:t> ;</w:t>
      </w:r>
    </w:p>
    <w:p w14:paraId="43997BE2" w14:textId="4CC9F33C" w:rsidR="00A40FA3" w:rsidRDefault="00A23DF7" w:rsidP="00A23DF7">
      <w:pPr>
        <w:pStyle w:val="Paragraphedeliste"/>
        <w:numPr>
          <w:ilvl w:val="0"/>
          <w:numId w:val="21"/>
        </w:numPr>
        <w:spacing w:before="120"/>
        <w:contextualSpacing w:val="0"/>
        <w:jc w:val="both"/>
      </w:pPr>
      <w:proofErr w:type="gramStart"/>
      <w:r>
        <w:t>l</w:t>
      </w:r>
      <w:r w:rsidR="009F2517">
        <w:t>’agent</w:t>
      </w:r>
      <w:proofErr w:type="gramEnd"/>
      <w:r w:rsidR="009F2517">
        <w:t xml:space="preserve"> pour lequel il est constaté, après avis du médecin du travail compétent, qu’il est particulièrement exposé, compte tenu de sa situation professionnelle individuelle, à un risque d’usure professionnelle</w:t>
      </w:r>
      <w:r>
        <w:t>.</w:t>
      </w:r>
    </w:p>
    <w:p w14:paraId="6017ADC2" w14:textId="72327493" w:rsidR="0002518E" w:rsidRPr="003A4D35" w:rsidRDefault="0002518E" w:rsidP="003A4D35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pacing w:before="360" w:after="180"/>
        <w:jc w:val="both"/>
        <w:rPr>
          <w:b/>
          <w:color w:val="538135" w:themeColor="accent6" w:themeShade="BF"/>
          <w:sz w:val="24"/>
          <w:szCs w:val="24"/>
        </w:rPr>
      </w:pPr>
      <w:r w:rsidRPr="003A4D35">
        <w:rPr>
          <w:b/>
          <w:color w:val="538135" w:themeColor="accent6" w:themeShade="BF"/>
          <w:sz w:val="24"/>
          <w:szCs w:val="24"/>
        </w:rPr>
        <w:t xml:space="preserve">Comment mobiliser </w:t>
      </w:r>
      <w:r w:rsidR="00F135DB">
        <w:rPr>
          <w:b/>
          <w:color w:val="538135" w:themeColor="accent6" w:themeShade="BF"/>
          <w:sz w:val="24"/>
          <w:szCs w:val="24"/>
        </w:rPr>
        <w:t>le</w:t>
      </w:r>
      <w:r w:rsidR="00D94CCC">
        <w:rPr>
          <w:b/>
          <w:color w:val="538135" w:themeColor="accent6" w:themeShade="BF"/>
          <w:sz w:val="24"/>
          <w:szCs w:val="24"/>
        </w:rPr>
        <w:t xml:space="preserve"> </w:t>
      </w:r>
      <w:r w:rsidR="00BF519A">
        <w:rPr>
          <w:b/>
          <w:color w:val="538135" w:themeColor="accent6" w:themeShade="BF"/>
          <w:sz w:val="24"/>
          <w:szCs w:val="24"/>
        </w:rPr>
        <w:t>congé de transition professionnelle</w:t>
      </w:r>
      <w:r w:rsidR="00A40FA3">
        <w:rPr>
          <w:b/>
          <w:color w:val="538135" w:themeColor="accent6" w:themeShade="BF"/>
          <w:sz w:val="24"/>
          <w:szCs w:val="24"/>
        </w:rPr>
        <w:t xml:space="preserve"> </w:t>
      </w:r>
      <w:r w:rsidRPr="003A4D35">
        <w:rPr>
          <w:b/>
          <w:color w:val="538135" w:themeColor="accent6" w:themeShade="BF"/>
          <w:sz w:val="24"/>
          <w:szCs w:val="24"/>
        </w:rPr>
        <w:t>?</w:t>
      </w:r>
    </w:p>
    <w:p w14:paraId="2BF6692E" w14:textId="4E12DD03" w:rsidR="00A57FF1" w:rsidRDefault="00A57FF1" w:rsidP="00BC28D6">
      <w:pPr>
        <w:jc w:val="both"/>
      </w:pPr>
      <w:r>
        <w:t xml:space="preserve">La demande est formulée par l’agent </w:t>
      </w:r>
      <w:r w:rsidR="00BC28D6">
        <w:t>auprès d</w:t>
      </w:r>
      <w:r w:rsidR="0099703A">
        <w:t xml:space="preserve">e son chef de service. </w:t>
      </w:r>
      <w:r w:rsidR="002C3F49">
        <w:t>L’agent</w:t>
      </w:r>
      <w:r w:rsidR="0099703A">
        <w:t xml:space="preserve"> </w:t>
      </w:r>
      <w:r w:rsidR="002C3F49">
        <w:t>bénéficie de plein droit d’un accompagnement personnalisé. Il est notamment</w:t>
      </w:r>
      <w:r w:rsidR="0099703A">
        <w:t xml:space="preserve"> accompagné par le</w:t>
      </w:r>
      <w:r w:rsidR="00BC28D6">
        <w:t xml:space="preserve"> responsable local</w:t>
      </w:r>
      <w:r w:rsidR="00A23DF7">
        <w:t>/animateur</w:t>
      </w:r>
      <w:r w:rsidR="0099703A">
        <w:t xml:space="preserve"> de formation de s</w:t>
      </w:r>
      <w:r w:rsidR="00BC28D6">
        <w:t xml:space="preserve">a structure et </w:t>
      </w:r>
      <w:r w:rsidR="002C3F49">
        <w:t>par</w:t>
      </w:r>
      <w:r w:rsidR="00BC28D6">
        <w:t xml:space="preserve"> l’IGAPS référent de la structure</w:t>
      </w:r>
      <w:r>
        <w:t xml:space="preserve">. </w:t>
      </w:r>
    </w:p>
    <w:p w14:paraId="3ED7164C" w14:textId="2CFE6871" w:rsidR="00A23DF7" w:rsidRDefault="00BC28D6" w:rsidP="0099703A">
      <w:pPr>
        <w:jc w:val="center"/>
      </w:pPr>
      <w:r w:rsidRPr="00BC28D6">
        <w:rPr>
          <w:highlight w:val="green"/>
        </w:rPr>
        <w:t>Formulaire de demande de congé de transition professionnelle</w:t>
      </w:r>
    </w:p>
    <w:p w14:paraId="24D03D4C" w14:textId="4475C28F" w:rsidR="00A57FF1" w:rsidRDefault="00BC28D6" w:rsidP="00A23DF7">
      <w:pPr>
        <w:spacing w:before="120" w:after="0"/>
        <w:jc w:val="both"/>
      </w:pPr>
      <w:r>
        <w:t>L’administration d’emploi examine</w:t>
      </w:r>
      <w:r w:rsidR="00A57FF1">
        <w:t xml:space="preserve"> la demande</w:t>
      </w:r>
      <w:r>
        <w:t xml:space="preserve"> selon les critères d’attribution </w:t>
      </w:r>
      <w:r w:rsidR="002C3F49">
        <w:t xml:space="preserve">suivants </w:t>
      </w:r>
      <w:r>
        <w:t xml:space="preserve">: </w:t>
      </w:r>
      <w:r w:rsidR="00A57FF1">
        <w:t xml:space="preserve"> </w:t>
      </w:r>
    </w:p>
    <w:p w14:paraId="2E58D6F1" w14:textId="671101AD" w:rsidR="00A57FF1" w:rsidRDefault="00A57FF1" w:rsidP="00A23DF7">
      <w:pPr>
        <w:pStyle w:val="Paragraphedeliste"/>
        <w:numPr>
          <w:ilvl w:val="0"/>
          <w:numId w:val="28"/>
        </w:numPr>
        <w:spacing w:before="60" w:after="0"/>
        <w:contextualSpacing w:val="0"/>
        <w:jc w:val="both"/>
      </w:pPr>
      <w:proofErr w:type="gramStart"/>
      <w:r>
        <w:t>cohérence</w:t>
      </w:r>
      <w:proofErr w:type="gramEnd"/>
      <w:r>
        <w:t xml:space="preserve"> de la demande avec le projet professionnel</w:t>
      </w:r>
      <w:r w:rsidR="00BC28D6">
        <w:t> </w:t>
      </w:r>
      <w:r w:rsidR="0099703A">
        <w:t xml:space="preserve">d’exercer un nouveau métier </w:t>
      </w:r>
      <w:r w:rsidR="00BC28D6">
        <w:t>;</w:t>
      </w:r>
    </w:p>
    <w:p w14:paraId="213A9E77" w14:textId="4CE84AB3" w:rsidR="00A57FF1" w:rsidRPr="00D113A3" w:rsidRDefault="00A57FF1" w:rsidP="00A23DF7">
      <w:pPr>
        <w:pStyle w:val="Paragraphedeliste"/>
        <w:numPr>
          <w:ilvl w:val="0"/>
          <w:numId w:val="28"/>
        </w:numPr>
        <w:spacing w:before="60" w:after="0"/>
        <w:contextualSpacing w:val="0"/>
        <w:jc w:val="both"/>
      </w:pPr>
      <w:proofErr w:type="gramStart"/>
      <w:r w:rsidRPr="00D113A3">
        <w:t>pert</w:t>
      </w:r>
      <w:r w:rsidR="00F62271">
        <w:t>inence</w:t>
      </w:r>
      <w:proofErr w:type="gramEnd"/>
      <w:r w:rsidR="00F62271">
        <w:t xml:space="preserve"> des actions de formation</w:t>
      </w:r>
      <w:bookmarkStart w:id="0" w:name="_GoBack"/>
      <w:bookmarkEnd w:id="0"/>
      <w:r w:rsidRPr="00D113A3">
        <w:t xml:space="preserve"> destinées à permettre la mise en œuvre du projet professionnel afin d’exercer un nouveau métier ou de créer ou reprendre une entreprise</w:t>
      </w:r>
      <w:r w:rsidR="00BC28D6">
        <w:t> ;</w:t>
      </w:r>
    </w:p>
    <w:p w14:paraId="60DDF692" w14:textId="2992EF0E" w:rsidR="00A57FF1" w:rsidRPr="00D113A3" w:rsidRDefault="00A57FF1" w:rsidP="00A23DF7">
      <w:pPr>
        <w:pStyle w:val="Paragraphedeliste"/>
        <w:numPr>
          <w:ilvl w:val="0"/>
          <w:numId w:val="28"/>
        </w:numPr>
        <w:spacing w:before="60" w:after="0"/>
        <w:contextualSpacing w:val="0"/>
        <w:jc w:val="both"/>
      </w:pPr>
      <w:proofErr w:type="gramStart"/>
      <w:r w:rsidRPr="00D113A3">
        <w:t>perspectives</w:t>
      </w:r>
      <w:proofErr w:type="gramEnd"/>
      <w:r w:rsidRPr="00D113A3">
        <w:t xml:space="preserve"> d'emploi à l'issue de la formation</w:t>
      </w:r>
      <w:r w:rsidR="00BC28D6">
        <w:t>.</w:t>
      </w:r>
    </w:p>
    <w:p w14:paraId="3FD423A2" w14:textId="4F93A68A" w:rsidR="00EC778F" w:rsidRDefault="00EC778F" w:rsidP="00BC28D6">
      <w:pPr>
        <w:spacing w:before="120" w:after="0"/>
        <w:jc w:val="both"/>
      </w:pPr>
      <w:r>
        <w:t xml:space="preserve">Les délais d’instruction diffèrent en fonction de la situation dans laquelle se trouve l’agent : </w:t>
      </w:r>
    </w:p>
    <w:p w14:paraId="287F988C" w14:textId="77777777" w:rsidR="00EC778F" w:rsidRPr="00A23DF7" w:rsidRDefault="00EC778F" w:rsidP="00A23DF7">
      <w:pPr>
        <w:pStyle w:val="Paragraphedeliste"/>
        <w:numPr>
          <w:ilvl w:val="0"/>
          <w:numId w:val="27"/>
        </w:numPr>
        <w:spacing w:before="120" w:after="0"/>
        <w:jc w:val="both"/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 xml:space="preserve">Les agents en situation de restructuration de service </w:t>
      </w:r>
    </w:p>
    <w:p w14:paraId="170D3F8F" w14:textId="769D3467" w:rsidR="00EC778F" w:rsidRDefault="00EC778F" w:rsidP="00A23DF7">
      <w:pPr>
        <w:spacing w:before="120" w:after="0"/>
        <w:jc w:val="both"/>
      </w:pPr>
      <w:r>
        <w:t>La demande est formulée par l’agent au moins 60 jours avant le début de la formation souhaitée</w:t>
      </w:r>
      <w:r w:rsidR="0099703A">
        <w:t xml:space="preserve"> en respectant l</w:t>
      </w:r>
      <w:r w:rsidR="00022FC6">
        <w:t>e périmètre, l</w:t>
      </w:r>
      <w:r w:rsidR="0099703A">
        <w:t>a durée et les conditions prévues par l’arrêté de restructuration de service</w:t>
      </w:r>
      <w:r w:rsidR="00022FC6">
        <w:rPr>
          <w:rStyle w:val="Appelnotedebasdep"/>
        </w:rPr>
        <w:footnoteReference w:id="1"/>
      </w:r>
      <w:r>
        <w:t xml:space="preserve">. </w:t>
      </w:r>
    </w:p>
    <w:p w14:paraId="40CFA603" w14:textId="77777777" w:rsidR="00022FC6" w:rsidRDefault="00A57FF1" w:rsidP="00A23DF7">
      <w:pPr>
        <w:spacing w:before="120" w:after="0"/>
        <w:jc w:val="both"/>
      </w:pPr>
      <w:r w:rsidRPr="00D113A3">
        <w:t>La décision de l’administration intervient par écrit dans un délai de 30 jours suivant la réception de la demande</w:t>
      </w:r>
      <w:r w:rsidR="00A66C15">
        <w:t>.</w:t>
      </w:r>
      <w:r w:rsidR="00BC28D6">
        <w:t xml:space="preserve"> La décision d’acceptation ou de refus doit être motivée et notifiée à l’agent. </w:t>
      </w:r>
      <w:r w:rsidR="00022FC6" w:rsidRPr="00022FC6">
        <w:t xml:space="preserve">Le silence gardé par l'administration à l'issue de ce délai vaut rejet de la demande. </w:t>
      </w:r>
    </w:p>
    <w:p w14:paraId="6CD29331" w14:textId="2D200795" w:rsidR="00835611" w:rsidRDefault="00022FC6" w:rsidP="00A23DF7">
      <w:pPr>
        <w:spacing w:before="120" w:after="0"/>
        <w:jc w:val="both"/>
      </w:pPr>
      <w:r w:rsidRPr="00022FC6">
        <w:t>Le bénéfice du congé peut être différé dans l'intérêt du service.</w:t>
      </w:r>
    </w:p>
    <w:p w14:paraId="5FA6EA39" w14:textId="4E98FBE2" w:rsidR="00EC778F" w:rsidRPr="009F2517" w:rsidRDefault="00EC778F" w:rsidP="00A23DF7">
      <w:pPr>
        <w:pStyle w:val="Paragraphedeliste"/>
        <w:numPr>
          <w:ilvl w:val="0"/>
          <w:numId w:val="27"/>
        </w:numPr>
        <w:spacing w:before="120" w:after="0"/>
        <w:jc w:val="both"/>
      </w:pPr>
      <w:r>
        <w:rPr>
          <w:b/>
          <w:color w:val="538135" w:themeColor="accent6" w:themeShade="BF"/>
          <w:sz w:val="24"/>
          <w:szCs w:val="24"/>
        </w:rPr>
        <w:t>Les agents dont la formation est favorisée</w:t>
      </w:r>
    </w:p>
    <w:p w14:paraId="001BD549" w14:textId="79AFA9C7" w:rsidR="00EC778F" w:rsidRDefault="00EC778F" w:rsidP="00EC778F">
      <w:pPr>
        <w:spacing w:before="120" w:after="0"/>
        <w:jc w:val="both"/>
      </w:pPr>
      <w:r>
        <w:t xml:space="preserve">La demande </w:t>
      </w:r>
      <w:r w:rsidR="00A23DF7">
        <w:t xml:space="preserve">de CTP </w:t>
      </w:r>
      <w:r>
        <w:t xml:space="preserve">est formulée par l’agent au </w:t>
      </w:r>
      <w:r w:rsidR="00A23DF7">
        <w:t xml:space="preserve">moins </w:t>
      </w:r>
      <w:r>
        <w:t xml:space="preserve">3 mois avant le début de la formation souhaitée. </w:t>
      </w:r>
    </w:p>
    <w:p w14:paraId="321A48E6" w14:textId="77777777" w:rsidR="00022FC6" w:rsidRDefault="00EC778F" w:rsidP="00EC778F">
      <w:pPr>
        <w:spacing w:before="120" w:after="0"/>
        <w:jc w:val="both"/>
      </w:pPr>
      <w:r>
        <w:t xml:space="preserve">La décision de l’administration intervient par écrit dans un délai de 2 mois suivant la réception de la demande. </w:t>
      </w:r>
      <w:r w:rsidR="00022FC6" w:rsidRPr="00022FC6">
        <w:t xml:space="preserve">Le silence gardé par l'administration à l'issue de ce délai vaut rejet de la demande. </w:t>
      </w:r>
      <w:r>
        <w:t>La décision d’acceptation ou de refus doit être motivée et notifiée à l’agent.</w:t>
      </w:r>
      <w:r w:rsidR="00022FC6" w:rsidRPr="00022FC6">
        <w:t xml:space="preserve"> </w:t>
      </w:r>
    </w:p>
    <w:p w14:paraId="66988754" w14:textId="5E7B0FCE" w:rsidR="00EC778F" w:rsidRDefault="00022FC6" w:rsidP="00EC778F">
      <w:pPr>
        <w:spacing w:before="120" w:after="0"/>
        <w:jc w:val="both"/>
      </w:pPr>
      <w:r w:rsidRPr="00022FC6">
        <w:t>Le bénéfice du congé peut être différé dans l'intérêt du service.</w:t>
      </w:r>
    </w:p>
    <w:p w14:paraId="171CDE40" w14:textId="6E798B35" w:rsidR="00AE3D39" w:rsidRPr="003A4D35" w:rsidRDefault="00AE3D39" w:rsidP="003A4D35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pacing w:before="360" w:after="180"/>
        <w:jc w:val="both"/>
        <w:rPr>
          <w:b/>
          <w:color w:val="538135" w:themeColor="accent6" w:themeShade="BF"/>
          <w:sz w:val="24"/>
          <w:szCs w:val="24"/>
        </w:rPr>
      </w:pPr>
      <w:r w:rsidRPr="003A4D35">
        <w:rPr>
          <w:b/>
          <w:color w:val="538135" w:themeColor="accent6" w:themeShade="BF"/>
          <w:sz w:val="24"/>
          <w:szCs w:val="24"/>
        </w:rPr>
        <w:t xml:space="preserve">Comment se déroule </w:t>
      </w:r>
      <w:r w:rsidR="00F135DB">
        <w:rPr>
          <w:b/>
          <w:color w:val="538135" w:themeColor="accent6" w:themeShade="BF"/>
          <w:sz w:val="24"/>
          <w:szCs w:val="24"/>
        </w:rPr>
        <w:t xml:space="preserve">le </w:t>
      </w:r>
      <w:r w:rsidR="00A40FA3">
        <w:rPr>
          <w:b/>
          <w:color w:val="538135" w:themeColor="accent6" w:themeShade="BF"/>
          <w:sz w:val="24"/>
          <w:szCs w:val="24"/>
        </w:rPr>
        <w:t xml:space="preserve">congé de transition professionnelle </w:t>
      </w:r>
      <w:r w:rsidRPr="003A4D35">
        <w:rPr>
          <w:b/>
          <w:color w:val="538135" w:themeColor="accent6" w:themeShade="BF"/>
          <w:sz w:val="24"/>
          <w:szCs w:val="24"/>
        </w:rPr>
        <w:t>?</w:t>
      </w:r>
    </w:p>
    <w:p w14:paraId="688AB9A5" w14:textId="77777777" w:rsidR="005242CC" w:rsidRDefault="005242CC" w:rsidP="00A23DF7">
      <w:pPr>
        <w:spacing w:before="120" w:after="0"/>
        <w:jc w:val="both"/>
      </w:pPr>
      <w:r>
        <w:t xml:space="preserve">L’agent en CTP est en position d’activité. La période de CTP est assimilée à des services effectifs dans le corps. </w:t>
      </w:r>
    </w:p>
    <w:p w14:paraId="2D00DAFD" w14:textId="35A33B46" w:rsidR="005242CC" w:rsidRDefault="00A57FF1" w:rsidP="00A23DF7">
      <w:pPr>
        <w:spacing w:before="120" w:after="0"/>
        <w:jc w:val="both"/>
      </w:pPr>
      <w:r>
        <w:t xml:space="preserve">Durant le congé de transition professionnelle, l’agent perçoit </w:t>
      </w:r>
      <w:r w:rsidR="005242CC">
        <w:t xml:space="preserve">: </w:t>
      </w:r>
    </w:p>
    <w:p w14:paraId="14DDF2E8" w14:textId="56BA82C5" w:rsidR="005242CC" w:rsidRDefault="00A57FF1" w:rsidP="00A23DF7">
      <w:pPr>
        <w:pStyle w:val="Paragraphedeliste"/>
        <w:numPr>
          <w:ilvl w:val="0"/>
          <w:numId w:val="18"/>
        </w:numPr>
        <w:spacing w:before="60" w:after="0"/>
        <w:ind w:left="714" w:hanging="357"/>
        <w:contextualSpacing w:val="0"/>
        <w:jc w:val="both"/>
      </w:pPr>
      <w:r>
        <w:t>100 % de son</w:t>
      </w:r>
      <w:r w:rsidR="005242CC">
        <w:t xml:space="preserve"> traitement + Indemnité de résidence + Supplément familial de traitement</w:t>
      </w:r>
      <w:r>
        <w:t> ;</w:t>
      </w:r>
    </w:p>
    <w:p w14:paraId="26A14788" w14:textId="1F599136" w:rsidR="00D94CCC" w:rsidRDefault="005242CC" w:rsidP="00A23DF7">
      <w:pPr>
        <w:pStyle w:val="Paragraphedeliste"/>
        <w:numPr>
          <w:ilvl w:val="0"/>
          <w:numId w:val="18"/>
        </w:numPr>
        <w:spacing w:before="60" w:after="0"/>
        <w:ind w:left="714" w:hanging="357"/>
        <w:contextualSpacing w:val="0"/>
        <w:jc w:val="both"/>
      </w:pPr>
      <w:r>
        <w:t>80 % du régime indemnitaire dont l'agent bénéficiait à la date du placement en CTP</w:t>
      </w:r>
      <w:r w:rsidR="00A57FF1">
        <w:t>.</w:t>
      </w:r>
    </w:p>
    <w:p w14:paraId="4A248654" w14:textId="77777777" w:rsidR="002C3F49" w:rsidRDefault="002C3F49" w:rsidP="002C3F49">
      <w:pPr>
        <w:pStyle w:val="Paragraphedeliste"/>
        <w:spacing w:before="60" w:after="0"/>
        <w:ind w:left="714"/>
        <w:contextualSpacing w:val="0"/>
        <w:jc w:val="both"/>
      </w:pPr>
    </w:p>
    <w:p w14:paraId="210763B1" w14:textId="6C105170" w:rsidR="00BB6C15" w:rsidRPr="003A4D35" w:rsidRDefault="00BB6C15" w:rsidP="00BB6C15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pacing w:before="360" w:after="180"/>
        <w:jc w:val="both"/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>Pour aller plus loin…</w:t>
      </w:r>
    </w:p>
    <w:p w14:paraId="740B867C" w14:textId="77777777" w:rsidR="00A40FA3" w:rsidRDefault="00BB6C15" w:rsidP="00A40FA3">
      <w:pPr>
        <w:pStyle w:val="Paragraphedeliste"/>
        <w:numPr>
          <w:ilvl w:val="0"/>
          <w:numId w:val="14"/>
        </w:numPr>
        <w:spacing w:before="120" w:after="0"/>
        <w:ind w:left="426" w:hanging="357"/>
        <w:contextualSpacing w:val="0"/>
        <w:jc w:val="both"/>
      </w:pPr>
      <w:r>
        <w:t>Article</w:t>
      </w:r>
      <w:r w:rsidR="00653ED7">
        <w:t>s</w:t>
      </w:r>
      <w:r>
        <w:t xml:space="preserve"> </w:t>
      </w:r>
      <w:r w:rsidR="00653ED7">
        <w:t>L</w:t>
      </w:r>
      <w:r w:rsidR="00E57155">
        <w:t xml:space="preserve">. </w:t>
      </w:r>
      <w:r w:rsidR="00A40FA3">
        <w:t>422-3</w:t>
      </w:r>
      <w:r w:rsidR="00653ED7">
        <w:t xml:space="preserve"> du code général de la fonction publique </w:t>
      </w:r>
      <w:r>
        <w:t>;</w:t>
      </w:r>
    </w:p>
    <w:p w14:paraId="5C706A1F" w14:textId="5F8DDC2F" w:rsidR="0026711D" w:rsidRDefault="00A40FA3" w:rsidP="00A40FA3">
      <w:pPr>
        <w:pStyle w:val="Paragraphedeliste"/>
        <w:numPr>
          <w:ilvl w:val="0"/>
          <w:numId w:val="14"/>
        </w:numPr>
        <w:spacing w:before="120" w:after="0"/>
        <w:ind w:left="426" w:hanging="357"/>
        <w:contextualSpacing w:val="0"/>
        <w:jc w:val="both"/>
      </w:pPr>
      <w:r>
        <w:t xml:space="preserve">Article 18-1 du </w:t>
      </w:r>
      <w:r w:rsidR="00E249AC">
        <w:t>d</w:t>
      </w:r>
      <w:r w:rsidRPr="00A40FA3">
        <w:t>écret n°2007-1470 du 15 octobre 2007 relatif à la formation professionnelle tout au long de la vie des fonctionnaires de l'</w:t>
      </w:r>
      <w:r w:rsidR="00895635">
        <w:t>É</w:t>
      </w:r>
      <w:r w:rsidRPr="00A40FA3">
        <w:t>tat</w:t>
      </w:r>
      <w:r>
        <w:t xml:space="preserve"> </w:t>
      </w:r>
      <w:r w:rsidR="00571803">
        <w:t>;</w:t>
      </w:r>
    </w:p>
    <w:p w14:paraId="7CC72D0F" w14:textId="7BF12146" w:rsidR="00571803" w:rsidRDefault="00A40FA3" w:rsidP="00571803">
      <w:pPr>
        <w:pStyle w:val="Paragraphedeliste"/>
        <w:numPr>
          <w:ilvl w:val="0"/>
          <w:numId w:val="14"/>
        </w:numPr>
        <w:spacing w:before="120" w:after="0"/>
        <w:ind w:left="426" w:hanging="357"/>
        <w:contextualSpacing w:val="0"/>
        <w:jc w:val="both"/>
      </w:pPr>
      <w:r>
        <w:t>Chapitre III du décret n° 2019-1441 du 23 décembre 2019 relatif aux mesures d'accompagnement de la restructuration d'un service de l'</w:t>
      </w:r>
      <w:r w:rsidR="00895635">
        <w:t>É</w:t>
      </w:r>
      <w:r>
        <w:t>tat ou de l'un</w:t>
      </w:r>
      <w:r w:rsidR="00A23DF7">
        <w:t xml:space="preserve"> de ses établissements publics.</w:t>
      </w:r>
    </w:p>
    <w:p w14:paraId="6C96772F" w14:textId="77777777" w:rsidR="00895635" w:rsidRDefault="00895635" w:rsidP="00895635">
      <w:pPr>
        <w:pStyle w:val="Paragraphedeliste"/>
        <w:spacing w:before="120" w:after="0"/>
        <w:ind w:left="426"/>
        <w:contextualSpacing w:val="0"/>
        <w:jc w:val="both"/>
      </w:pPr>
    </w:p>
    <w:sectPr w:rsidR="00895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7895A" w14:textId="77777777" w:rsidR="0002518E" w:rsidRDefault="0002518E" w:rsidP="0002518E">
      <w:pPr>
        <w:spacing w:after="0" w:line="240" w:lineRule="auto"/>
      </w:pPr>
      <w:r>
        <w:separator/>
      </w:r>
    </w:p>
  </w:endnote>
  <w:endnote w:type="continuationSeparator" w:id="0">
    <w:p w14:paraId="74614E37" w14:textId="77777777" w:rsidR="0002518E" w:rsidRDefault="0002518E" w:rsidP="0002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1B3E" w14:textId="77777777" w:rsidR="00295EE2" w:rsidRDefault="00295E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43447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A5ED4" w14:textId="0FF5E42B" w:rsidR="00377564" w:rsidRDefault="00377564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227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227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FDD0ED" w14:textId="77777777" w:rsidR="00377564" w:rsidRDefault="003775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6A263" w14:textId="77777777" w:rsidR="00295EE2" w:rsidRDefault="00295E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20CB4" w14:textId="77777777" w:rsidR="0002518E" w:rsidRDefault="0002518E" w:rsidP="0002518E">
      <w:pPr>
        <w:spacing w:after="0" w:line="240" w:lineRule="auto"/>
      </w:pPr>
      <w:r>
        <w:separator/>
      </w:r>
    </w:p>
  </w:footnote>
  <w:footnote w:type="continuationSeparator" w:id="0">
    <w:p w14:paraId="7BF5E58A" w14:textId="77777777" w:rsidR="0002518E" w:rsidRDefault="0002518E" w:rsidP="0002518E">
      <w:pPr>
        <w:spacing w:after="0" w:line="240" w:lineRule="auto"/>
      </w:pPr>
      <w:r>
        <w:continuationSeparator/>
      </w:r>
    </w:p>
  </w:footnote>
  <w:footnote w:id="1">
    <w:p w14:paraId="186A5296" w14:textId="509E822C" w:rsidR="00022FC6" w:rsidRDefault="00022FC6">
      <w:pPr>
        <w:pStyle w:val="Notedebasdepage"/>
      </w:pPr>
      <w:r>
        <w:rPr>
          <w:rStyle w:val="Appelnotedebasdep"/>
        </w:rPr>
        <w:footnoteRef/>
      </w:r>
      <w:r>
        <w:t xml:space="preserve"> La durée définie par l’arrêté ne peut excéder trois années.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280A5" w14:textId="20710011" w:rsidR="00295EE2" w:rsidRDefault="00295E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89D9D" w14:textId="2A1C4E30" w:rsidR="00295EE2" w:rsidRDefault="00295EE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85C84" w14:textId="4F94F467" w:rsidR="00295EE2" w:rsidRDefault="00295E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3C9"/>
    <w:multiLevelType w:val="hybridMultilevel"/>
    <w:tmpl w:val="8F308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4E61"/>
    <w:multiLevelType w:val="hybridMultilevel"/>
    <w:tmpl w:val="5BE49B86"/>
    <w:lvl w:ilvl="0" w:tplc="298659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62F"/>
    <w:multiLevelType w:val="hybridMultilevel"/>
    <w:tmpl w:val="24AAFD0C"/>
    <w:lvl w:ilvl="0" w:tplc="298659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922E7"/>
    <w:multiLevelType w:val="hybridMultilevel"/>
    <w:tmpl w:val="5D3EB190"/>
    <w:lvl w:ilvl="0" w:tplc="298659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35828"/>
    <w:multiLevelType w:val="hybridMultilevel"/>
    <w:tmpl w:val="7E46A87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3E18"/>
    <w:multiLevelType w:val="hybridMultilevel"/>
    <w:tmpl w:val="46C0A5BE"/>
    <w:lvl w:ilvl="0" w:tplc="7D9C6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D3AC2"/>
    <w:multiLevelType w:val="hybridMultilevel"/>
    <w:tmpl w:val="DE6ED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3141E"/>
    <w:multiLevelType w:val="hybridMultilevel"/>
    <w:tmpl w:val="116CD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37677"/>
    <w:multiLevelType w:val="hybridMultilevel"/>
    <w:tmpl w:val="00982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A22EF"/>
    <w:multiLevelType w:val="hybridMultilevel"/>
    <w:tmpl w:val="DDFEF9F6"/>
    <w:lvl w:ilvl="0" w:tplc="298659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C6200"/>
    <w:multiLevelType w:val="hybridMultilevel"/>
    <w:tmpl w:val="A57C0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22DA4"/>
    <w:multiLevelType w:val="hybridMultilevel"/>
    <w:tmpl w:val="994A39D4"/>
    <w:lvl w:ilvl="0" w:tplc="9A82E5B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95D1D"/>
    <w:multiLevelType w:val="hybridMultilevel"/>
    <w:tmpl w:val="ECA05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132D3"/>
    <w:multiLevelType w:val="hybridMultilevel"/>
    <w:tmpl w:val="2FE60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113CB"/>
    <w:multiLevelType w:val="hybridMultilevel"/>
    <w:tmpl w:val="0F28F7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43602"/>
    <w:multiLevelType w:val="hybridMultilevel"/>
    <w:tmpl w:val="2CD8B5BE"/>
    <w:lvl w:ilvl="0" w:tplc="298659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7430F"/>
    <w:multiLevelType w:val="hybridMultilevel"/>
    <w:tmpl w:val="9AD2D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65832"/>
    <w:multiLevelType w:val="hybridMultilevel"/>
    <w:tmpl w:val="3A867B22"/>
    <w:lvl w:ilvl="0" w:tplc="E8DE2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479AC"/>
    <w:multiLevelType w:val="hybridMultilevel"/>
    <w:tmpl w:val="FACAA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7382D"/>
    <w:multiLevelType w:val="hybridMultilevel"/>
    <w:tmpl w:val="AAE228B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40AF1"/>
    <w:multiLevelType w:val="hybridMultilevel"/>
    <w:tmpl w:val="D458CB78"/>
    <w:lvl w:ilvl="0" w:tplc="F8662E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C551F"/>
    <w:multiLevelType w:val="hybridMultilevel"/>
    <w:tmpl w:val="76260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06192"/>
    <w:multiLevelType w:val="hybridMultilevel"/>
    <w:tmpl w:val="C35E7C70"/>
    <w:lvl w:ilvl="0" w:tplc="298659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30B65"/>
    <w:multiLevelType w:val="hybridMultilevel"/>
    <w:tmpl w:val="A8984E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0516FD"/>
    <w:multiLevelType w:val="hybridMultilevel"/>
    <w:tmpl w:val="4B567294"/>
    <w:lvl w:ilvl="0" w:tplc="94E0D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42DD8"/>
    <w:multiLevelType w:val="hybridMultilevel"/>
    <w:tmpl w:val="EAF67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E18F6"/>
    <w:multiLevelType w:val="hybridMultilevel"/>
    <w:tmpl w:val="AEAA4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337A9"/>
    <w:multiLevelType w:val="hybridMultilevel"/>
    <w:tmpl w:val="F5A6679C"/>
    <w:lvl w:ilvl="0" w:tplc="94E0D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101AD"/>
    <w:multiLevelType w:val="hybridMultilevel"/>
    <w:tmpl w:val="04E4D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7"/>
  </w:num>
  <w:num w:numId="4">
    <w:abstractNumId w:val="6"/>
  </w:num>
  <w:num w:numId="5">
    <w:abstractNumId w:val="12"/>
  </w:num>
  <w:num w:numId="6">
    <w:abstractNumId w:val="17"/>
  </w:num>
  <w:num w:numId="7">
    <w:abstractNumId w:val="23"/>
  </w:num>
  <w:num w:numId="8">
    <w:abstractNumId w:val="19"/>
  </w:num>
  <w:num w:numId="9">
    <w:abstractNumId w:val="4"/>
  </w:num>
  <w:num w:numId="10">
    <w:abstractNumId w:val="0"/>
  </w:num>
  <w:num w:numId="11">
    <w:abstractNumId w:val="21"/>
  </w:num>
  <w:num w:numId="12">
    <w:abstractNumId w:val="2"/>
  </w:num>
  <w:num w:numId="13">
    <w:abstractNumId w:val="22"/>
  </w:num>
  <w:num w:numId="14">
    <w:abstractNumId w:val="9"/>
  </w:num>
  <w:num w:numId="15">
    <w:abstractNumId w:val="18"/>
  </w:num>
  <w:num w:numId="16">
    <w:abstractNumId w:val="10"/>
  </w:num>
  <w:num w:numId="17">
    <w:abstractNumId w:val="1"/>
  </w:num>
  <w:num w:numId="18">
    <w:abstractNumId w:val="27"/>
  </w:num>
  <w:num w:numId="19">
    <w:abstractNumId w:val="24"/>
  </w:num>
  <w:num w:numId="20">
    <w:abstractNumId w:val="14"/>
  </w:num>
  <w:num w:numId="21">
    <w:abstractNumId w:val="5"/>
  </w:num>
  <w:num w:numId="22">
    <w:abstractNumId w:val="13"/>
  </w:num>
  <w:num w:numId="23">
    <w:abstractNumId w:val="25"/>
  </w:num>
  <w:num w:numId="24">
    <w:abstractNumId w:val="28"/>
  </w:num>
  <w:num w:numId="25">
    <w:abstractNumId w:val="15"/>
  </w:num>
  <w:num w:numId="26">
    <w:abstractNumId w:val="11"/>
  </w:num>
  <w:num w:numId="27">
    <w:abstractNumId w:val="20"/>
  </w:num>
  <w:num w:numId="28">
    <w:abstractNumId w:val="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1E"/>
    <w:rsid w:val="00022FC6"/>
    <w:rsid w:val="0002518E"/>
    <w:rsid w:val="000406D5"/>
    <w:rsid w:val="000A591E"/>
    <w:rsid w:val="000D3771"/>
    <w:rsid w:val="001413E2"/>
    <w:rsid w:val="00167CD4"/>
    <w:rsid w:val="001D4820"/>
    <w:rsid w:val="001D615E"/>
    <w:rsid w:val="0026711D"/>
    <w:rsid w:val="002677F5"/>
    <w:rsid w:val="002922B0"/>
    <w:rsid w:val="00295EE2"/>
    <w:rsid w:val="002B7AF9"/>
    <w:rsid w:val="002C3F49"/>
    <w:rsid w:val="002E2DB6"/>
    <w:rsid w:val="00314A9C"/>
    <w:rsid w:val="003602CC"/>
    <w:rsid w:val="00377564"/>
    <w:rsid w:val="00392450"/>
    <w:rsid w:val="003A1B74"/>
    <w:rsid w:val="003A4D35"/>
    <w:rsid w:val="003C0BBA"/>
    <w:rsid w:val="003C6B3B"/>
    <w:rsid w:val="003E14C2"/>
    <w:rsid w:val="00421BD6"/>
    <w:rsid w:val="004755B1"/>
    <w:rsid w:val="00486F07"/>
    <w:rsid w:val="004A4D15"/>
    <w:rsid w:val="004D2948"/>
    <w:rsid w:val="004D3BB9"/>
    <w:rsid w:val="005242CC"/>
    <w:rsid w:val="00571803"/>
    <w:rsid w:val="005847D8"/>
    <w:rsid w:val="005A4951"/>
    <w:rsid w:val="005E4BD6"/>
    <w:rsid w:val="0060209E"/>
    <w:rsid w:val="00602845"/>
    <w:rsid w:val="00624F51"/>
    <w:rsid w:val="0063155D"/>
    <w:rsid w:val="00653ED7"/>
    <w:rsid w:val="00654473"/>
    <w:rsid w:val="006771ED"/>
    <w:rsid w:val="006C43E3"/>
    <w:rsid w:val="006E1FA2"/>
    <w:rsid w:val="006E3CA0"/>
    <w:rsid w:val="007268EE"/>
    <w:rsid w:val="007771E7"/>
    <w:rsid w:val="007C749B"/>
    <w:rsid w:val="0081209C"/>
    <w:rsid w:val="008267B7"/>
    <w:rsid w:val="00835611"/>
    <w:rsid w:val="00854D57"/>
    <w:rsid w:val="00880EC5"/>
    <w:rsid w:val="00895635"/>
    <w:rsid w:val="008D6422"/>
    <w:rsid w:val="008F70A0"/>
    <w:rsid w:val="00916CFE"/>
    <w:rsid w:val="00986F2A"/>
    <w:rsid w:val="009902E6"/>
    <w:rsid w:val="00996969"/>
    <w:rsid w:val="0099703A"/>
    <w:rsid w:val="009E37DC"/>
    <w:rsid w:val="009F2517"/>
    <w:rsid w:val="00A044DE"/>
    <w:rsid w:val="00A16F4E"/>
    <w:rsid w:val="00A23DF7"/>
    <w:rsid w:val="00A40FA3"/>
    <w:rsid w:val="00A57FF1"/>
    <w:rsid w:val="00A66C15"/>
    <w:rsid w:val="00A850D7"/>
    <w:rsid w:val="00A919AD"/>
    <w:rsid w:val="00A96DB8"/>
    <w:rsid w:val="00AE3D39"/>
    <w:rsid w:val="00B2553B"/>
    <w:rsid w:val="00B524F0"/>
    <w:rsid w:val="00B85C56"/>
    <w:rsid w:val="00B86A1A"/>
    <w:rsid w:val="00B90949"/>
    <w:rsid w:val="00BB6C15"/>
    <w:rsid w:val="00BC28D6"/>
    <w:rsid w:val="00BC6327"/>
    <w:rsid w:val="00BF519A"/>
    <w:rsid w:val="00C879CC"/>
    <w:rsid w:val="00CB65A8"/>
    <w:rsid w:val="00CE63D2"/>
    <w:rsid w:val="00D017F9"/>
    <w:rsid w:val="00D171A7"/>
    <w:rsid w:val="00D37426"/>
    <w:rsid w:val="00D67079"/>
    <w:rsid w:val="00D81E2C"/>
    <w:rsid w:val="00D94CCC"/>
    <w:rsid w:val="00DC3260"/>
    <w:rsid w:val="00E249AC"/>
    <w:rsid w:val="00E26E0E"/>
    <w:rsid w:val="00E37CE5"/>
    <w:rsid w:val="00E57155"/>
    <w:rsid w:val="00E6441D"/>
    <w:rsid w:val="00E65EF7"/>
    <w:rsid w:val="00EB4446"/>
    <w:rsid w:val="00EC778F"/>
    <w:rsid w:val="00EE310A"/>
    <w:rsid w:val="00EE6D92"/>
    <w:rsid w:val="00F036C1"/>
    <w:rsid w:val="00F135DB"/>
    <w:rsid w:val="00F16DD5"/>
    <w:rsid w:val="00F23BA3"/>
    <w:rsid w:val="00F62271"/>
    <w:rsid w:val="00F7339B"/>
    <w:rsid w:val="00F741AE"/>
    <w:rsid w:val="00F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70A6E4"/>
  <w15:chartTrackingRefBased/>
  <w15:docId w15:val="{3B8E529C-4332-4A60-B356-CB0E4673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591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A4D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4D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4D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4D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4D1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D15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518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518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518E"/>
    <w:rPr>
      <w:vertAlign w:val="superscript"/>
    </w:rPr>
  </w:style>
  <w:style w:type="table" w:styleId="Grilledutableau">
    <w:name w:val="Table Grid"/>
    <w:basedOn w:val="TableauNormal"/>
    <w:uiPriority w:val="39"/>
    <w:rsid w:val="003A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F251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7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7564"/>
  </w:style>
  <w:style w:type="paragraph" w:styleId="Pieddepage">
    <w:name w:val="footer"/>
    <w:basedOn w:val="Normal"/>
    <w:link w:val="PieddepageCar"/>
    <w:uiPriority w:val="99"/>
    <w:unhideWhenUsed/>
    <w:rsid w:val="0037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855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LASNE</dc:creator>
  <cp:keywords/>
  <dc:description/>
  <cp:lastModifiedBy>Florence PINATEL IGOA</cp:lastModifiedBy>
  <cp:revision>6</cp:revision>
  <dcterms:created xsi:type="dcterms:W3CDTF">2022-11-09T13:16:00Z</dcterms:created>
  <dcterms:modified xsi:type="dcterms:W3CDTF">2022-12-07T09:55:00Z</dcterms:modified>
</cp:coreProperties>
</file>