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B1" w:rsidRDefault="00C023CD" w:rsidP="00C023CD">
      <w:pPr>
        <w:spacing w:after="0" w:line="240" w:lineRule="auto"/>
        <w:ind w:left="-284"/>
        <w:rPr>
          <w:rFonts w:ascii="Marianne" w:hAnsi="Marianne"/>
          <w:b/>
          <w:bCs/>
          <w:sz w:val="28"/>
          <w:szCs w:val="28"/>
        </w:rPr>
      </w:pPr>
      <w:r>
        <w:rPr>
          <w:rFonts w:ascii="Marianne" w:hAnsi="Marianne"/>
          <w:noProof/>
          <w:sz w:val="16"/>
          <w:szCs w:val="16"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172720</wp:posOffset>
            </wp:positionV>
            <wp:extent cx="914400" cy="502920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_mentor_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C4E" w:rsidRPr="002F3CDB" w:rsidRDefault="00D61C4E" w:rsidP="005F75A3">
      <w:pPr>
        <w:spacing w:after="0" w:line="240" w:lineRule="auto"/>
        <w:ind w:left="-284"/>
        <w:jc w:val="center"/>
        <w:rPr>
          <w:rFonts w:ascii="Marianne" w:hAnsi="Marianne"/>
          <w:b/>
          <w:bCs/>
          <w:sz w:val="28"/>
          <w:szCs w:val="28"/>
        </w:rPr>
      </w:pPr>
      <w:r w:rsidRPr="002F3CDB">
        <w:rPr>
          <w:rFonts w:ascii="Marianne" w:hAnsi="Marianne"/>
          <w:b/>
          <w:bCs/>
          <w:sz w:val="28"/>
          <w:szCs w:val="28"/>
        </w:rPr>
        <w:t>Formation en autonomie</w:t>
      </w:r>
      <w:r w:rsidR="0066287C" w:rsidRPr="002F3CDB">
        <w:rPr>
          <w:rFonts w:ascii="Marianne" w:hAnsi="Marianne"/>
          <w:sz w:val="28"/>
          <w:szCs w:val="28"/>
        </w:rPr>
        <w:t> </w:t>
      </w:r>
      <w:r w:rsidR="0066287C" w:rsidRPr="002F3CDB">
        <w:rPr>
          <w:rFonts w:ascii="Marianne" w:hAnsi="Marianne"/>
          <w:b/>
          <w:bCs/>
          <w:sz w:val="28"/>
          <w:szCs w:val="28"/>
        </w:rPr>
        <w:t xml:space="preserve">: </w:t>
      </w:r>
      <w:r w:rsidR="00044CA9" w:rsidRPr="002F3CDB">
        <w:rPr>
          <w:rFonts w:ascii="Marianne" w:hAnsi="Marianne"/>
          <w:b/>
          <w:bCs/>
          <w:sz w:val="28"/>
          <w:szCs w:val="28"/>
        </w:rPr>
        <w:t>la p</w:t>
      </w:r>
      <w:r w:rsidR="0066287C" w:rsidRPr="002F3CDB">
        <w:rPr>
          <w:rFonts w:ascii="Marianne" w:hAnsi="Marianne"/>
          <w:b/>
          <w:bCs/>
          <w:sz w:val="28"/>
          <w:szCs w:val="28"/>
        </w:rPr>
        <w:t>lateforme Mentor</w:t>
      </w:r>
    </w:p>
    <w:p w:rsidR="00C91EE7" w:rsidRPr="002F3CDB" w:rsidRDefault="00C91EE7" w:rsidP="00D011C6">
      <w:pPr>
        <w:spacing w:after="0" w:line="240" w:lineRule="auto"/>
        <w:ind w:left="-284"/>
        <w:jc w:val="both"/>
        <w:rPr>
          <w:rFonts w:ascii="Marianne" w:hAnsi="Marianne"/>
          <w:sz w:val="16"/>
          <w:szCs w:val="16"/>
        </w:rPr>
      </w:pPr>
    </w:p>
    <w:p w:rsidR="00C023CD" w:rsidRDefault="00C023CD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</w:p>
    <w:p w:rsidR="00C023CD" w:rsidRDefault="00C023CD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</w:p>
    <w:p w:rsidR="00B435C2" w:rsidRPr="002F3CDB" w:rsidRDefault="0066287C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Mentor est une plateforme interministérielle</w:t>
      </w:r>
      <w:r w:rsidR="00B435C2" w:rsidRPr="002F3CDB">
        <w:rPr>
          <w:rFonts w:ascii="Marianne" w:hAnsi="Marianne"/>
          <w:sz w:val="18"/>
          <w:szCs w:val="18"/>
        </w:rPr>
        <w:t xml:space="preserve"> de formation en ligne, développée par la DGAFP (direction de l’administration de la fonction publique)</w:t>
      </w:r>
      <w:r w:rsidRPr="002F3CDB">
        <w:rPr>
          <w:rFonts w:ascii="Marianne" w:hAnsi="Marianne"/>
          <w:sz w:val="18"/>
          <w:szCs w:val="18"/>
        </w:rPr>
        <w:t xml:space="preserve">. </w:t>
      </w:r>
    </w:p>
    <w:p w:rsidR="00B435C2" w:rsidRPr="002F3CDB" w:rsidRDefault="0066287C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Elle fournit</w:t>
      </w:r>
      <w:r w:rsidR="00B435C2" w:rsidRPr="002F3CDB">
        <w:rPr>
          <w:rFonts w:ascii="Marianne" w:hAnsi="Marianne"/>
          <w:sz w:val="18"/>
          <w:szCs w:val="18"/>
        </w:rPr>
        <w:t>,</w:t>
      </w:r>
      <w:r w:rsidRPr="002F3CDB">
        <w:rPr>
          <w:rFonts w:ascii="Marianne" w:hAnsi="Marianne"/>
          <w:sz w:val="18"/>
          <w:szCs w:val="18"/>
        </w:rPr>
        <w:t xml:space="preserve"> aux agents des ministères partenaires</w:t>
      </w:r>
      <w:r w:rsidR="00B435C2" w:rsidRPr="002F3CDB">
        <w:rPr>
          <w:rFonts w:ascii="Marianne" w:hAnsi="Marianne"/>
          <w:sz w:val="18"/>
          <w:szCs w:val="18"/>
        </w:rPr>
        <w:t>,</w:t>
      </w:r>
      <w:r w:rsidRPr="002F3CDB">
        <w:rPr>
          <w:rFonts w:ascii="Marianne" w:hAnsi="Marianne"/>
          <w:sz w:val="18"/>
          <w:szCs w:val="18"/>
        </w:rPr>
        <w:t xml:space="preserve"> l’accès à une offre de formation riche et élargie en fonction des contributions de la communauté interministérielle impliquée.</w:t>
      </w:r>
    </w:p>
    <w:p w:rsidR="00D011C6" w:rsidRPr="002F3CDB" w:rsidRDefault="00C91EE7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 xml:space="preserve">Ainsi, </w:t>
      </w:r>
      <w:r w:rsidR="00D011C6" w:rsidRPr="002F3CDB">
        <w:rPr>
          <w:rFonts w:ascii="Marianne" w:hAnsi="Marianne"/>
          <w:sz w:val="18"/>
          <w:szCs w:val="18"/>
        </w:rPr>
        <w:t>est</w:t>
      </w:r>
      <w:r w:rsidRPr="002F3CDB">
        <w:rPr>
          <w:rFonts w:ascii="Marianne" w:hAnsi="Marianne"/>
          <w:sz w:val="18"/>
          <w:szCs w:val="18"/>
        </w:rPr>
        <w:t xml:space="preserve"> mise </w:t>
      </w:r>
      <w:r w:rsidR="0066287C" w:rsidRPr="002F3CDB">
        <w:rPr>
          <w:rFonts w:ascii="Marianne" w:hAnsi="Marianne"/>
          <w:sz w:val="18"/>
          <w:szCs w:val="18"/>
        </w:rPr>
        <w:t>à disposition, en libre-service, une offre accessible à tout momen</w:t>
      </w:r>
      <w:r w:rsidR="00B435C2" w:rsidRPr="002F3CDB">
        <w:rPr>
          <w:rFonts w:ascii="Marianne" w:hAnsi="Marianne"/>
          <w:sz w:val="18"/>
          <w:szCs w:val="18"/>
        </w:rPr>
        <w:t xml:space="preserve">t. </w:t>
      </w:r>
    </w:p>
    <w:p w:rsidR="00B435C2" w:rsidRPr="002F3CDB" w:rsidRDefault="00D011C6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Vous y trouverez des formations sur plusieurs thématiques tant</w:t>
      </w:r>
      <w:r w:rsidR="00FD2980">
        <w:rPr>
          <w:rFonts w:ascii="Marianne" w:hAnsi="Marianne"/>
          <w:sz w:val="18"/>
          <w:szCs w:val="18"/>
        </w:rPr>
        <w:t> « </w:t>
      </w:r>
      <w:r w:rsidRPr="002F3CDB">
        <w:rPr>
          <w:rFonts w:ascii="Marianne" w:hAnsi="Marianne"/>
          <w:sz w:val="18"/>
          <w:szCs w:val="18"/>
        </w:rPr>
        <w:t>tran</w:t>
      </w:r>
      <w:r w:rsidR="00FD2980">
        <w:rPr>
          <w:rFonts w:ascii="Marianne" w:hAnsi="Marianne"/>
          <w:sz w:val="18"/>
          <w:szCs w:val="18"/>
        </w:rPr>
        <w:t>s</w:t>
      </w:r>
      <w:r w:rsidRPr="002F3CDB">
        <w:rPr>
          <w:rFonts w:ascii="Marianne" w:hAnsi="Marianne"/>
          <w:sz w:val="18"/>
          <w:szCs w:val="18"/>
        </w:rPr>
        <w:t>verses</w:t>
      </w:r>
      <w:r w:rsidR="00FD2980">
        <w:rPr>
          <w:rFonts w:ascii="Marianne" w:hAnsi="Marianne"/>
          <w:sz w:val="18"/>
          <w:szCs w:val="18"/>
        </w:rPr>
        <w:t> »</w:t>
      </w:r>
      <w:r w:rsidRPr="002F3CDB">
        <w:rPr>
          <w:rFonts w:ascii="Marianne" w:hAnsi="Marianne"/>
          <w:sz w:val="18"/>
          <w:szCs w:val="18"/>
        </w:rPr>
        <w:t xml:space="preserve"> que </w:t>
      </w:r>
      <w:r w:rsidR="00FD2980">
        <w:rPr>
          <w:rFonts w:ascii="Marianne" w:hAnsi="Marianne"/>
          <w:sz w:val="18"/>
          <w:szCs w:val="18"/>
        </w:rPr>
        <w:t>« </w:t>
      </w:r>
      <w:r w:rsidRPr="002F3CDB">
        <w:rPr>
          <w:rFonts w:ascii="Marianne" w:hAnsi="Marianne"/>
          <w:sz w:val="18"/>
          <w:szCs w:val="18"/>
        </w:rPr>
        <w:t>métiers</w:t>
      </w:r>
      <w:r w:rsidR="00FD2980">
        <w:rPr>
          <w:rFonts w:ascii="Marianne" w:hAnsi="Marianne"/>
          <w:sz w:val="18"/>
          <w:szCs w:val="18"/>
        </w:rPr>
        <w:t> »</w:t>
      </w:r>
      <w:r w:rsidRPr="002F3CDB">
        <w:rPr>
          <w:rFonts w:ascii="Marianne" w:hAnsi="Marianne"/>
          <w:sz w:val="18"/>
          <w:szCs w:val="18"/>
        </w:rPr>
        <w:t xml:space="preserve"> (achat public, finances publiques, management, spécifiques à notre ministère, …) p</w:t>
      </w:r>
      <w:r w:rsidR="000013D1" w:rsidRPr="002F3CDB">
        <w:rPr>
          <w:rFonts w:ascii="Marianne" w:hAnsi="Marianne"/>
          <w:sz w:val="18"/>
          <w:szCs w:val="18"/>
        </w:rPr>
        <w:t>roposée</w:t>
      </w:r>
      <w:r w:rsidR="00B435C2" w:rsidRPr="002F3CDB">
        <w:rPr>
          <w:rFonts w:ascii="Marianne" w:hAnsi="Marianne"/>
          <w:sz w:val="18"/>
          <w:szCs w:val="18"/>
        </w:rPr>
        <w:t>s</w:t>
      </w:r>
      <w:r w:rsidR="000013D1" w:rsidRPr="002F3CDB">
        <w:rPr>
          <w:rFonts w:ascii="Marianne" w:hAnsi="Marianne"/>
          <w:sz w:val="18"/>
          <w:szCs w:val="18"/>
        </w:rPr>
        <w:t xml:space="preserve"> </w:t>
      </w:r>
      <w:r w:rsidRPr="002F3CDB">
        <w:rPr>
          <w:rFonts w:ascii="Marianne" w:hAnsi="Marianne"/>
          <w:sz w:val="18"/>
          <w:szCs w:val="18"/>
        </w:rPr>
        <w:t>par la</w:t>
      </w:r>
      <w:r w:rsidR="000013D1" w:rsidRPr="002F3CDB">
        <w:rPr>
          <w:rFonts w:ascii="Marianne" w:hAnsi="Marianne"/>
          <w:sz w:val="18"/>
          <w:szCs w:val="18"/>
        </w:rPr>
        <w:t xml:space="preserve"> DGAFP, de la DITP</w:t>
      </w:r>
      <w:r w:rsidR="00B435C2" w:rsidRPr="002F3CDB">
        <w:rPr>
          <w:rFonts w:ascii="Marianne" w:hAnsi="Marianne"/>
          <w:sz w:val="18"/>
          <w:szCs w:val="18"/>
        </w:rPr>
        <w:t xml:space="preserve"> (direction interministérielle</w:t>
      </w:r>
      <w:r w:rsidR="00673AFF">
        <w:rPr>
          <w:rFonts w:ascii="Marianne" w:hAnsi="Marianne"/>
          <w:sz w:val="18"/>
          <w:szCs w:val="18"/>
        </w:rPr>
        <w:t xml:space="preserve"> de la transformation publique)</w:t>
      </w:r>
      <w:r w:rsidR="000013D1" w:rsidRPr="002F3CDB">
        <w:rPr>
          <w:rFonts w:ascii="Marianne" w:hAnsi="Marianne"/>
          <w:sz w:val="18"/>
          <w:szCs w:val="18"/>
        </w:rPr>
        <w:t xml:space="preserve">, du ministère de l’agriculture, de la </w:t>
      </w:r>
      <w:r w:rsidR="00B435C2" w:rsidRPr="002F3CDB">
        <w:rPr>
          <w:rFonts w:ascii="Marianne" w:hAnsi="Marianne"/>
          <w:sz w:val="18"/>
          <w:szCs w:val="18"/>
        </w:rPr>
        <w:t>d</w:t>
      </w:r>
      <w:r w:rsidR="000013D1" w:rsidRPr="002F3CDB">
        <w:rPr>
          <w:rFonts w:ascii="Marianne" w:hAnsi="Marianne"/>
          <w:sz w:val="18"/>
          <w:szCs w:val="18"/>
        </w:rPr>
        <w:t xml:space="preserve">irection du </w:t>
      </w:r>
      <w:r w:rsidR="00B435C2" w:rsidRPr="002F3CDB">
        <w:rPr>
          <w:rFonts w:ascii="Marianne" w:hAnsi="Marianne"/>
          <w:sz w:val="18"/>
          <w:szCs w:val="18"/>
        </w:rPr>
        <w:t>b</w:t>
      </w:r>
      <w:r w:rsidR="000013D1" w:rsidRPr="002F3CDB">
        <w:rPr>
          <w:rFonts w:ascii="Marianne" w:hAnsi="Marianne"/>
          <w:sz w:val="18"/>
          <w:szCs w:val="18"/>
        </w:rPr>
        <w:t xml:space="preserve">udget, des instituts régionaux d’administration, </w:t>
      </w:r>
      <w:r w:rsidRPr="002F3CDB">
        <w:rPr>
          <w:rFonts w:ascii="Marianne" w:hAnsi="Marianne"/>
          <w:sz w:val="18"/>
          <w:szCs w:val="18"/>
        </w:rPr>
        <w:t>l’INFOMA (Institut national de formation des personnels du Ministère de l'Agriculture), …,</w:t>
      </w:r>
    </w:p>
    <w:p w:rsidR="00B435C2" w:rsidRPr="002F3CDB" w:rsidRDefault="00B435C2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</w:p>
    <w:p w:rsidR="00B435C2" w:rsidRDefault="009A1EF5" w:rsidP="00DD2C1C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D</w:t>
      </w:r>
      <w:r w:rsidR="0066287C" w:rsidRPr="002F3CDB">
        <w:rPr>
          <w:rFonts w:ascii="Marianne" w:hAnsi="Marianne"/>
          <w:sz w:val="18"/>
          <w:szCs w:val="18"/>
        </w:rPr>
        <w:t>ans le cadre d</w:t>
      </w:r>
      <w:r w:rsidR="00B435C2" w:rsidRPr="002F3CDB">
        <w:rPr>
          <w:rFonts w:ascii="Marianne" w:hAnsi="Marianne"/>
          <w:sz w:val="18"/>
          <w:szCs w:val="18"/>
        </w:rPr>
        <w:t>e son</w:t>
      </w:r>
      <w:r w:rsidR="0066287C" w:rsidRPr="002F3CDB">
        <w:rPr>
          <w:rFonts w:ascii="Marianne" w:hAnsi="Marianne"/>
          <w:sz w:val="18"/>
          <w:szCs w:val="18"/>
        </w:rPr>
        <w:t xml:space="preserve"> plan de formation</w:t>
      </w:r>
      <w:r w:rsidR="00524045">
        <w:rPr>
          <w:rFonts w:ascii="Marianne" w:hAnsi="Marianne"/>
          <w:sz w:val="18"/>
          <w:szCs w:val="18"/>
        </w:rPr>
        <w:t xml:space="preserve"> </w:t>
      </w:r>
      <w:r w:rsidR="0066287C" w:rsidRPr="002F3CDB">
        <w:rPr>
          <w:rFonts w:ascii="Marianne" w:hAnsi="Marianne"/>
          <w:sz w:val="18"/>
          <w:szCs w:val="18"/>
        </w:rPr>
        <w:t>202</w:t>
      </w:r>
      <w:r w:rsidR="00524045">
        <w:rPr>
          <w:rFonts w:ascii="Marianne" w:hAnsi="Marianne"/>
          <w:sz w:val="18"/>
          <w:szCs w:val="18"/>
        </w:rPr>
        <w:t>4</w:t>
      </w:r>
      <w:r w:rsidR="00B435C2" w:rsidRPr="002F3CDB">
        <w:rPr>
          <w:rFonts w:ascii="Marianne" w:hAnsi="Marianne"/>
          <w:sz w:val="18"/>
          <w:szCs w:val="18"/>
        </w:rPr>
        <w:t xml:space="preserve"> l</w:t>
      </w:r>
      <w:r w:rsidRPr="002F3CDB">
        <w:rPr>
          <w:rFonts w:ascii="Marianne" w:hAnsi="Marianne"/>
          <w:sz w:val="18"/>
          <w:szCs w:val="18"/>
        </w:rPr>
        <w:t>a DACFC a sélectionné les formations suivantes</w:t>
      </w:r>
      <w:r w:rsidR="00DD2C1C">
        <w:rPr>
          <w:rFonts w:ascii="Marianne" w:hAnsi="Marianne"/>
          <w:sz w:val="18"/>
          <w:szCs w:val="18"/>
        </w:rPr>
        <w:t>.</w:t>
      </w:r>
      <w:r w:rsidR="00524045">
        <w:rPr>
          <w:rFonts w:ascii="Marianne" w:hAnsi="Marianne"/>
          <w:sz w:val="18"/>
          <w:szCs w:val="18"/>
        </w:rPr>
        <w:t xml:space="preserve"> Cette liste sera mise à jour au fil de l’eau </w:t>
      </w:r>
    </w:p>
    <w:p w:rsidR="00DD2C1C" w:rsidRPr="002F3CDB" w:rsidRDefault="00DD2C1C" w:rsidP="00DD2C1C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</w:p>
    <w:p w:rsidR="0066287C" w:rsidRPr="002F3CDB" w:rsidRDefault="009A1EF5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Ces formations peuvent être suivies sur le temps de travail tout comme les autres formations proposées par la DACFC</w:t>
      </w:r>
      <w:r w:rsidR="00B435C2" w:rsidRPr="002F3CDB">
        <w:rPr>
          <w:rFonts w:ascii="Marianne" w:hAnsi="Marianne"/>
          <w:sz w:val="18"/>
          <w:szCs w:val="18"/>
        </w:rPr>
        <w:t>.</w:t>
      </w:r>
    </w:p>
    <w:p w:rsidR="000B0315" w:rsidRPr="002F3CDB" w:rsidRDefault="000B0315" w:rsidP="00D011C6">
      <w:pPr>
        <w:spacing w:after="0" w:line="240" w:lineRule="auto"/>
        <w:ind w:left="-284"/>
        <w:jc w:val="both"/>
        <w:rPr>
          <w:rFonts w:ascii="Marianne" w:hAnsi="Marianne"/>
          <w:b/>
          <w:sz w:val="18"/>
          <w:szCs w:val="18"/>
        </w:rPr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451"/>
        <w:gridCol w:w="1254"/>
        <w:gridCol w:w="1985"/>
        <w:gridCol w:w="1153"/>
        <w:gridCol w:w="904"/>
        <w:gridCol w:w="28"/>
        <w:gridCol w:w="3432"/>
      </w:tblGrid>
      <w:tr w:rsidR="008C09EC" w:rsidRPr="00044F8E" w:rsidTr="00160FE9">
        <w:trPr>
          <w:cantSplit/>
          <w:trHeight w:val="630"/>
          <w:tblHeader/>
        </w:trPr>
        <w:tc>
          <w:tcPr>
            <w:tcW w:w="1451" w:type="dxa"/>
            <w:shd w:val="clear" w:color="auto" w:fill="FBE4D5" w:themeFill="accent2" w:themeFillTint="33"/>
          </w:tcPr>
          <w:p w:rsidR="00DA2BDD" w:rsidRPr="00044F8E" w:rsidRDefault="00DA2BDD" w:rsidP="00D011C6">
            <w:pPr>
              <w:jc w:val="both"/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 w:rsidRPr="00044F8E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>Code stage</w:t>
            </w:r>
          </w:p>
        </w:tc>
        <w:tc>
          <w:tcPr>
            <w:tcW w:w="1254" w:type="dxa"/>
            <w:shd w:val="clear" w:color="auto" w:fill="FBE4D5" w:themeFill="accent2" w:themeFillTint="33"/>
          </w:tcPr>
          <w:p w:rsidR="00DA2BDD" w:rsidRPr="00044F8E" w:rsidRDefault="00DA2BDD" w:rsidP="00D011C6">
            <w:pPr>
              <w:jc w:val="both"/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 w:rsidRPr="00044F8E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>Code session</w:t>
            </w:r>
          </w:p>
        </w:tc>
        <w:tc>
          <w:tcPr>
            <w:tcW w:w="1985" w:type="dxa"/>
            <w:shd w:val="clear" w:color="auto" w:fill="FBE4D5" w:themeFill="accent2" w:themeFillTint="33"/>
            <w:hideMark/>
          </w:tcPr>
          <w:p w:rsidR="00DA2BDD" w:rsidRPr="00044F8E" w:rsidRDefault="00DA2BDD" w:rsidP="00D011C6">
            <w:pPr>
              <w:jc w:val="both"/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 w:rsidRPr="00044F8E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>Intitulé</w:t>
            </w:r>
          </w:p>
        </w:tc>
        <w:tc>
          <w:tcPr>
            <w:tcW w:w="1153" w:type="dxa"/>
            <w:shd w:val="clear" w:color="auto" w:fill="FBE4D5" w:themeFill="accent2" w:themeFillTint="33"/>
            <w:hideMark/>
          </w:tcPr>
          <w:p w:rsidR="00DA2BDD" w:rsidRPr="00044F8E" w:rsidRDefault="00DA2BDD" w:rsidP="00D011C6">
            <w:pPr>
              <w:jc w:val="both"/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 w:rsidRPr="00044F8E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>Prestataire</w:t>
            </w:r>
          </w:p>
        </w:tc>
        <w:tc>
          <w:tcPr>
            <w:tcW w:w="904" w:type="dxa"/>
            <w:shd w:val="clear" w:color="auto" w:fill="FBE4D5" w:themeFill="accent2" w:themeFillTint="33"/>
            <w:hideMark/>
          </w:tcPr>
          <w:p w:rsidR="00DA2BDD" w:rsidRPr="00044F8E" w:rsidRDefault="00DA2BDD" w:rsidP="00D011C6">
            <w:pPr>
              <w:jc w:val="both"/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 w:rsidRPr="00044F8E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>Durée estimée</w:t>
            </w:r>
          </w:p>
        </w:tc>
        <w:tc>
          <w:tcPr>
            <w:tcW w:w="3460" w:type="dxa"/>
            <w:gridSpan w:val="2"/>
            <w:shd w:val="clear" w:color="auto" w:fill="FBE4D5" w:themeFill="accent2" w:themeFillTint="33"/>
            <w:hideMark/>
          </w:tcPr>
          <w:p w:rsidR="00DA2BDD" w:rsidRPr="00044F8E" w:rsidRDefault="00DA2BDD" w:rsidP="00D011C6">
            <w:pPr>
              <w:jc w:val="both"/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 w:rsidRPr="00044F8E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 xml:space="preserve">Objectifs </w:t>
            </w:r>
          </w:p>
        </w:tc>
      </w:tr>
      <w:tr w:rsidR="00160FE9" w:rsidRPr="002F3CDB" w:rsidTr="00160FE9">
        <w:trPr>
          <w:trHeight w:val="1200"/>
        </w:trPr>
        <w:tc>
          <w:tcPr>
            <w:tcW w:w="1451" w:type="dxa"/>
          </w:tcPr>
          <w:p w:rsidR="00DD2C1C" w:rsidRPr="0049019E" w:rsidRDefault="00DD2C1C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BB5704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RACEN0002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54" w:type="dxa"/>
          </w:tcPr>
          <w:p w:rsidR="00DD2C1C" w:rsidRPr="0049019E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-0000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85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Adopter les bons réflexes en matière de déontologie</w:t>
            </w:r>
          </w:p>
        </w:tc>
        <w:tc>
          <w:tcPr>
            <w:tcW w:w="1153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INSP</w:t>
            </w:r>
          </w:p>
        </w:tc>
        <w:tc>
          <w:tcPr>
            <w:tcW w:w="904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 H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Comprendre qui sont les acteurs et quels sont les outils de la déontologie et quand y recourir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?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Quelles sont vos obligations en tant qu'agent public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Quels sont les bons réflexes pour prévenir les conflits d'intérêts</w:t>
            </w:r>
          </w:p>
        </w:tc>
      </w:tr>
      <w:tr w:rsidR="00160FE9" w:rsidRPr="002F3CDB" w:rsidTr="00160FE9">
        <w:trPr>
          <w:cantSplit/>
          <w:trHeight w:val="600"/>
        </w:trPr>
        <w:tc>
          <w:tcPr>
            <w:tcW w:w="1451" w:type="dxa"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RACEN00021</w:t>
            </w:r>
          </w:p>
        </w:tc>
        <w:tc>
          <w:tcPr>
            <w:tcW w:w="1254" w:type="dxa"/>
          </w:tcPr>
          <w:p w:rsidR="00DD2C1C" w:rsidRPr="002F3CDB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-00001</w:t>
            </w:r>
          </w:p>
        </w:tc>
        <w:tc>
          <w:tcPr>
            <w:tcW w:w="1985" w:type="dxa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L’essentiel de l’Union 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e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uropéenne</w:t>
            </w:r>
          </w:p>
        </w:tc>
        <w:tc>
          <w:tcPr>
            <w:tcW w:w="1153" w:type="dxa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IGPDE + Collège de France</w:t>
            </w:r>
          </w:p>
        </w:tc>
        <w:tc>
          <w:tcPr>
            <w:tcW w:w="904" w:type="dxa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3H30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Connaître la construction européenne, les institutions, les mécanismes de décisions et l'élaboration du budget.</w:t>
            </w:r>
          </w:p>
        </w:tc>
      </w:tr>
      <w:tr w:rsidR="00160FE9" w:rsidRPr="002F3CDB" w:rsidTr="00160FE9">
        <w:trPr>
          <w:trHeight w:val="600"/>
        </w:trPr>
        <w:tc>
          <w:tcPr>
            <w:tcW w:w="1451" w:type="dxa"/>
          </w:tcPr>
          <w:p w:rsidR="00DD2C1C" w:rsidRPr="0049019E" w:rsidRDefault="00DD2C1C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RACIB00016</w:t>
            </w:r>
          </w:p>
        </w:tc>
        <w:tc>
          <w:tcPr>
            <w:tcW w:w="1254" w:type="dxa"/>
          </w:tcPr>
          <w:p w:rsidR="00DD2C1C" w:rsidRPr="0049019E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-00001</w:t>
            </w:r>
          </w:p>
        </w:tc>
        <w:tc>
          <w:tcPr>
            <w:tcW w:w="1985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Agir pour contribuer à ma sécurité numérique et à celle de mon organisation </w:t>
            </w:r>
          </w:p>
        </w:tc>
        <w:tc>
          <w:tcPr>
            <w:tcW w:w="1153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DGAFP</w:t>
            </w:r>
          </w:p>
        </w:tc>
        <w:tc>
          <w:tcPr>
            <w:tcW w:w="904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1H45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Savoir pourquoi et comment se protéger contre les attaques cyber les plus courantes à titre individuel et professionnel</w:t>
            </w:r>
          </w:p>
        </w:tc>
      </w:tr>
      <w:tr w:rsidR="00160FE9" w:rsidRPr="002F3CDB" w:rsidTr="00160FE9">
        <w:trPr>
          <w:trHeight w:val="900"/>
        </w:trPr>
        <w:tc>
          <w:tcPr>
            <w:tcW w:w="1451" w:type="dxa"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RACEX00016</w:t>
            </w:r>
          </w:p>
        </w:tc>
        <w:tc>
          <w:tcPr>
            <w:tcW w:w="1254" w:type="dxa"/>
          </w:tcPr>
          <w:p w:rsidR="00DD2C1C" w:rsidRPr="002F3CDB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-00001</w:t>
            </w:r>
          </w:p>
        </w:tc>
        <w:tc>
          <w:tcPr>
            <w:tcW w:w="1985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Elaboration d'un dossier RAEP</w:t>
            </w:r>
          </w:p>
        </w:tc>
        <w:tc>
          <w:tcPr>
            <w:tcW w:w="1153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Infoma</w:t>
            </w:r>
            <w:proofErr w:type="spellEnd"/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et ENCCRF</w:t>
            </w:r>
          </w:p>
        </w:tc>
        <w:tc>
          <w:tcPr>
            <w:tcW w:w="904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1H45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Identifier les spécificités d'un dossier RAEP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Repérer les éléments de votre carrière à valoriser.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Rédiger un dossier qui vous ressemble.</w:t>
            </w:r>
          </w:p>
        </w:tc>
      </w:tr>
      <w:tr w:rsidR="008C09EC" w:rsidRPr="002F3CDB" w:rsidTr="00160FE9">
        <w:trPr>
          <w:trHeight w:val="2391"/>
        </w:trPr>
        <w:tc>
          <w:tcPr>
            <w:tcW w:w="1451" w:type="dxa"/>
          </w:tcPr>
          <w:p w:rsidR="00DD2C1C" w:rsidRPr="0049019E" w:rsidRDefault="00DD2C1C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RACPU00001</w:t>
            </w:r>
          </w:p>
        </w:tc>
        <w:tc>
          <w:tcPr>
            <w:tcW w:w="1254" w:type="dxa"/>
          </w:tcPr>
          <w:p w:rsidR="00DD2C1C" w:rsidRPr="0049019E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</w:t>
            </w:r>
            <w:r w:rsidR="008C09EC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85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Être </w:t>
            </w:r>
            <w:proofErr w:type="spellStart"/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éco-responsable</w:t>
            </w:r>
            <w:proofErr w:type="spellEnd"/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dans son quotidien professionnel</w:t>
            </w:r>
          </w:p>
        </w:tc>
        <w:tc>
          <w:tcPr>
            <w:tcW w:w="1153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MTECT</w:t>
            </w:r>
          </w:p>
        </w:tc>
        <w:tc>
          <w:tcPr>
            <w:tcW w:w="904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 à 7H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8C09E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Identifier les enjeux à agir de façon </w:t>
            </w:r>
            <w:proofErr w:type="spellStart"/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éco-responsable</w:t>
            </w:r>
            <w:proofErr w:type="spellEnd"/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: enjeux environnementaux ,  sociétaux et sanitaires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Connaitre les obligations réglementaires qui s'imposent à soi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Identifier les principes d'actions pour aller plus loin</w:t>
            </w:r>
            <w:r w:rsidR="008C09EC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-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Identifier les leviers pour agir efficacement à son échelle individuelle</w:t>
            </w:r>
          </w:p>
        </w:tc>
      </w:tr>
      <w:tr w:rsidR="00160FE9" w:rsidRPr="002F3CDB" w:rsidTr="00160FE9">
        <w:trPr>
          <w:trHeight w:val="600"/>
        </w:trPr>
        <w:tc>
          <w:tcPr>
            <w:tcW w:w="1451" w:type="dxa"/>
          </w:tcPr>
          <w:p w:rsidR="00DD2C1C" w:rsidRPr="0049019E" w:rsidRDefault="00DD2C1C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RACCO00012</w:t>
            </w:r>
          </w:p>
        </w:tc>
        <w:tc>
          <w:tcPr>
            <w:tcW w:w="1254" w:type="dxa"/>
          </w:tcPr>
          <w:p w:rsidR="00DD2C1C" w:rsidRPr="0049019E" w:rsidRDefault="00DD2C1C" w:rsidP="00780355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780355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-00001</w:t>
            </w:r>
          </w:p>
        </w:tc>
        <w:tc>
          <w:tcPr>
            <w:tcW w:w="1985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Les fondamentaux de la rédaction administrative</w:t>
            </w:r>
          </w:p>
        </w:tc>
        <w:tc>
          <w:tcPr>
            <w:tcW w:w="1153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Metz</w:t>
            </w:r>
          </w:p>
        </w:tc>
        <w:tc>
          <w:tcPr>
            <w:tcW w:w="904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5h30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Connaître les principaux écrits administratifs et leurs usages ainsi que les règles qui les régissent </w:t>
            </w:r>
          </w:p>
        </w:tc>
      </w:tr>
      <w:tr w:rsidR="00160FE9" w:rsidRPr="002F3CDB" w:rsidTr="00160FE9">
        <w:trPr>
          <w:trHeight w:val="300"/>
        </w:trPr>
        <w:tc>
          <w:tcPr>
            <w:tcW w:w="1451" w:type="dxa"/>
          </w:tcPr>
          <w:p w:rsidR="00DD2C1C" w:rsidRPr="0049019E" w:rsidRDefault="00DD2C1C" w:rsidP="00160FE9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RACFI00017</w:t>
            </w:r>
          </w:p>
        </w:tc>
        <w:tc>
          <w:tcPr>
            <w:tcW w:w="1254" w:type="dxa"/>
          </w:tcPr>
          <w:p w:rsidR="00DD2C1C" w:rsidRPr="0049019E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24</w:t>
            </w: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-00001</w:t>
            </w:r>
          </w:p>
        </w:tc>
        <w:tc>
          <w:tcPr>
            <w:tcW w:w="1985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Les fondamentaux du budget de l'Etat</w:t>
            </w:r>
          </w:p>
        </w:tc>
        <w:tc>
          <w:tcPr>
            <w:tcW w:w="1153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Direction du budget</w:t>
            </w:r>
          </w:p>
        </w:tc>
        <w:tc>
          <w:tcPr>
            <w:tcW w:w="904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2H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S'initier aux principes essentiels du budget dans  la fonction publique</w:t>
            </w:r>
          </w:p>
        </w:tc>
      </w:tr>
      <w:tr w:rsidR="00160FE9" w:rsidRPr="002F3CDB" w:rsidTr="00160FE9">
        <w:trPr>
          <w:trHeight w:val="600"/>
        </w:trPr>
        <w:tc>
          <w:tcPr>
            <w:tcW w:w="1451" w:type="dxa"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RACJU0004</w:t>
            </w:r>
          </w:p>
        </w:tc>
        <w:tc>
          <w:tcPr>
            <w:tcW w:w="1254" w:type="dxa"/>
          </w:tcPr>
          <w:p w:rsidR="00DD2C1C" w:rsidRPr="002F3CDB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-00001</w:t>
            </w:r>
          </w:p>
        </w:tc>
        <w:tc>
          <w:tcPr>
            <w:tcW w:w="1985" w:type="dxa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Découvrir les bases de la </w:t>
            </w:r>
            <w:proofErr w:type="spellStart"/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légistique</w:t>
            </w:r>
            <w:proofErr w:type="spellEnd"/>
          </w:p>
        </w:tc>
        <w:tc>
          <w:tcPr>
            <w:tcW w:w="1153" w:type="dxa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IRA Metz</w:t>
            </w:r>
          </w:p>
        </w:tc>
        <w:tc>
          <w:tcPr>
            <w:tcW w:w="904" w:type="dxa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3h30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697AA1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Connaître les procédures d'élaboration et les règles de rédaction des lois et décrets</w:t>
            </w:r>
          </w:p>
        </w:tc>
      </w:tr>
      <w:tr w:rsidR="00160FE9" w:rsidRPr="002F3CDB" w:rsidTr="00160FE9">
        <w:trPr>
          <w:trHeight w:val="1500"/>
        </w:trPr>
        <w:tc>
          <w:tcPr>
            <w:tcW w:w="1451" w:type="dxa"/>
          </w:tcPr>
          <w:p w:rsidR="00DD2C1C" w:rsidRPr="0049019E" w:rsidRDefault="00DD2C1C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743FD2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RACJU00005</w:t>
            </w:r>
          </w:p>
        </w:tc>
        <w:tc>
          <w:tcPr>
            <w:tcW w:w="1254" w:type="dxa"/>
          </w:tcPr>
          <w:p w:rsidR="00DD2C1C" w:rsidRPr="0049019E" w:rsidRDefault="00DD2C1C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4-</w:t>
            </w:r>
            <w:r w:rsidRPr="002C1608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00001</w:t>
            </w:r>
          </w:p>
        </w:tc>
        <w:tc>
          <w:tcPr>
            <w:tcW w:w="1985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Les fondamentaux du droit administratif</w:t>
            </w:r>
          </w:p>
        </w:tc>
        <w:tc>
          <w:tcPr>
            <w:tcW w:w="1153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IRA B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astia</w:t>
            </w:r>
          </w:p>
        </w:tc>
        <w:tc>
          <w:tcPr>
            <w:tcW w:w="904" w:type="dxa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10H</w:t>
            </w:r>
          </w:p>
        </w:tc>
        <w:tc>
          <w:tcPr>
            <w:tcW w:w="3460" w:type="dxa"/>
            <w:gridSpan w:val="2"/>
            <w:hideMark/>
          </w:tcPr>
          <w:p w:rsidR="00DD2C1C" w:rsidRPr="002F3CDB" w:rsidRDefault="00DD2C1C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Connaître les notions de base du droit administratif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Comprendre l'organisation administrative de l'Etat et les principales règles du droit administratif</w:t>
            </w:r>
            <w:r w:rsidRPr="002F3CDB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br/>
              <w:t>Comprendre l'action administrative et ses acteurs</w:t>
            </w:r>
          </w:p>
        </w:tc>
      </w:tr>
      <w:tr w:rsidR="00160FE9" w:rsidRPr="002F3CDB" w:rsidTr="00160FE9">
        <w:trPr>
          <w:trHeight w:val="1500"/>
        </w:trPr>
        <w:tc>
          <w:tcPr>
            <w:tcW w:w="1451" w:type="dxa"/>
          </w:tcPr>
          <w:p w:rsidR="006877E7" w:rsidRPr="00743FD2" w:rsidRDefault="006877E7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RACEN00024</w:t>
            </w:r>
          </w:p>
        </w:tc>
        <w:tc>
          <w:tcPr>
            <w:tcW w:w="1254" w:type="dxa"/>
          </w:tcPr>
          <w:p w:rsidR="006877E7" w:rsidRPr="002C1608" w:rsidRDefault="00E42C4F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2024-00001</w:t>
            </w:r>
          </w:p>
        </w:tc>
        <w:tc>
          <w:tcPr>
            <w:tcW w:w="1985" w:type="dxa"/>
          </w:tcPr>
          <w:p w:rsidR="006877E7" w:rsidRPr="002F3CDB" w:rsidRDefault="006877E7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6877E7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Travailler autrement : astuces (</w:t>
            </w:r>
            <w:proofErr w:type="spellStart"/>
            <w:r w:rsidRPr="006877E7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Distanciel</w:t>
            </w:r>
            <w:proofErr w:type="spellEnd"/>
            <w:r w:rsidRPr="006877E7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53" w:type="dxa"/>
          </w:tcPr>
          <w:p w:rsidR="006877E7" w:rsidRPr="002F3CDB" w:rsidRDefault="00044F8E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DITP</w:t>
            </w:r>
          </w:p>
        </w:tc>
        <w:tc>
          <w:tcPr>
            <w:tcW w:w="904" w:type="dxa"/>
          </w:tcPr>
          <w:p w:rsidR="006877E7" w:rsidRPr="002F3CDB" w:rsidRDefault="006877E7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06H</w:t>
            </w:r>
          </w:p>
        </w:tc>
        <w:tc>
          <w:tcPr>
            <w:tcW w:w="3460" w:type="dxa"/>
            <w:gridSpan w:val="2"/>
          </w:tcPr>
          <w:p w:rsidR="00E42C4F" w:rsidRPr="00E42C4F" w:rsidRDefault="00E42C4F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Mieux </w:t>
            </w:r>
            <w:r w:rsidRP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maîtriser votre agenda et votre organisation de travail,</w:t>
            </w:r>
          </w:p>
          <w:p w:rsidR="00E42C4F" w:rsidRPr="00E42C4F" w:rsidRDefault="00E42C4F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R</w:t>
            </w:r>
            <w:r w:rsidRP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epenser votre gestion des sollicitations numériques,</w:t>
            </w:r>
          </w:p>
          <w:p w:rsidR="00E42C4F" w:rsidRPr="00E42C4F" w:rsidRDefault="00E42C4F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A</w:t>
            </w:r>
            <w:r w:rsidRP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méliorer la qualité de vos échanges avec les autres et porter un regard plus objectif sur leur comportement,</w:t>
            </w:r>
          </w:p>
          <w:p w:rsidR="006877E7" w:rsidRPr="002F3CDB" w:rsidRDefault="00E42C4F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Parvenir</w:t>
            </w:r>
            <w:r w:rsidRP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à un meilleur équilibre entre votre vie professionnelle et votre vie personnelle...  </w:t>
            </w:r>
          </w:p>
        </w:tc>
      </w:tr>
      <w:tr w:rsidR="00044F8E" w:rsidRPr="002F3CDB" w:rsidTr="00160FE9">
        <w:trPr>
          <w:trHeight w:val="1500"/>
        </w:trPr>
        <w:tc>
          <w:tcPr>
            <w:tcW w:w="1451" w:type="dxa"/>
          </w:tcPr>
          <w:p w:rsidR="00193B42" w:rsidRDefault="00193B42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RACIB00017</w:t>
            </w:r>
          </w:p>
        </w:tc>
        <w:tc>
          <w:tcPr>
            <w:tcW w:w="1254" w:type="dxa"/>
          </w:tcPr>
          <w:p w:rsidR="00193B42" w:rsidRDefault="00193B42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</w:t>
            </w:r>
            <w:r w:rsidR="00E42C4F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4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-000</w:t>
            </w:r>
            <w:r w:rsidR="008C09EC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85" w:type="dxa"/>
          </w:tcPr>
          <w:p w:rsidR="00193B42" w:rsidRPr="006877E7" w:rsidRDefault="00193B42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193B42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S'approprier les produits collaboratifs (</w:t>
            </w:r>
            <w:proofErr w:type="spellStart"/>
            <w:r w:rsidRPr="00193B42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Dist</w:t>
            </w:r>
            <w:proofErr w:type="spellEnd"/>
            <w:r w:rsidRPr="00193B42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153" w:type="dxa"/>
          </w:tcPr>
          <w:p w:rsidR="00193B42" w:rsidRPr="002F3CDB" w:rsidRDefault="00193B42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4" w:type="dxa"/>
          </w:tcPr>
          <w:p w:rsidR="00193B42" w:rsidRDefault="00193B42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3H</w:t>
            </w:r>
          </w:p>
        </w:tc>
        <w:tc>
          <w:tcPr>
            <w:tcW w:w="3460" w:type="dxa"/>
            <w:gridSpan w:val="2"/>
          </w:tcPr>
          <w:p w:rsidR="00193B42" w:rsidRPr="00160FE9" w:rsidRDefault="00E42C4F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160FE9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>Utiliser les produits collaboratifs</w:t>
            </w:r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 à partir des bonnes pratiques d’utilisation quotidienne des produits</w:t>
            </w:r>
          </w:p>
          <w:p w:rsidR="00E42C4F" w:rsidRPr="00160FE9" w:rsidRDefault="00E42C4F" w:rsidP="008C09E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160FE9"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  <w:t>Développer ses compétences</w:t>
            </w:r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 sur la maitrise des produits numériques (OSMOSE, </w:t>
            </w:r>
            <w:proofErr w:type="spellStart"/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Webconférence</w:t>
            </w:r>
            <w:proofErr w:type="spellEnd"/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 de l’Etat, Webin</w:t>
            </w:r>
            <w:r w:rsidR="008C09EC"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ai</w:t>
            </w:r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re de l’Etat, </w:t>
            </w:r>
            <w:proofErr w:type="spellStart"/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Tchap</w:t>
            </w:r>
            <w:proofErr w:type="spellEnd"/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, …)</w:t>
            </w:r>
          </w:p>
        </w:tc>
      </w:tr>
      <w:tr w:rsidR="00160FE9" w:rsidRPr="002F3CDB" w:rsidTr="00160FE9">
        <w:trPr>
          <w:trHeight w:val="1500"/>
        </w:trPr>
        <w:tc>
          <w:tcPr>
            <w:tcW w:w="1451" w:type="dxa"/>
          </w:tcPr>
          <w:p w:rsidR="00C139E2" w:rsidRDefault="00C139E2" w:rsidP="00DD2C1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RACST00025</w:t>
            </w:r>
          </w:p>
        </w:tc>
        <w:tc>
          <w:tcPr>
            <w:tcW w:w="1254" w:type="dxa"/>
          </w:tcPr>
          <w:p w:rsidR="00C139E2" w:rsidRDefault="00C139E2" w:rsidP="00E42C4F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2024-000</w:t>
            </w:r>
            <w:r w:rsidR="008C09EC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0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985" w:type="dxa"/>
          </w:tcPr>
          <w:p w:rsidR="00C139E2" w:rsidRPr="00193B42" w:rsidRDefault="00C139E2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C139E2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Le handicap au travail : enjeux et leviers d'action</w:t>
            </w:r>
          </w:p>
        </w:tc>
        <w:tc>
          <w:tcPr>
            <w:tcW w:w="1153" w:type="dxa"/>
          </w:tcPr>
          <w:p w:rsidR="00C139E2" w:rsidRPr="002F3CDB" w:rsidRDefault="00C139E2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INTEFP</w:t>
            </w:r>
          </w:p>
        </w:tc>
        <w:tc>
          <w:tcPr>
            <w:tcW w:w="904" w:type="dxa"/>
          </w:tcPr>
          <w:p w:rsidR="00C139E2" w:rsidRDefault="00C139E2" w:rsidP="00DD2C1C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1H00</w:t>
            </w:r>
          </w:p>
        </w:tc>
        <w:tc>
          <w:tcPr>
            <w:tcW w:w="3460" w:type="dxa"/>
            <w:gridSpan w:val="2"/>
          </w:tcPr>
          <w:p w:rsidR="00C139E2" w:rsidRPr="00160FE9" w:rsidRDefault="00C139E2" w:rsidP="00C139E2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Aborder la politique du handicap au travail dans sa globalité : recrutement, intégration et maintien dans l’emploi </w:t>
            </w:r>
          </w:p>
          <w:p w:rsidR="00C139E2" w:rsidRPr="00160FE9" w:rsidRDefault="00C139E2" w:rsidP="00C139E2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Définir son rôle dans la gestion du handicap au travail</w:t>
            </w:r>
          </w:p>
          <w:p w:rsidR="00C139E2" w:rsidRPr="00160FE9" w:rsidRDefault="00C139E2" w:rsidP="00C139E2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Interroger et adapter ses pratiques professionnelles</w:t>
            </w:r>
          </w:p>
          <w:p w:rsidR="00C139E2" w:rsidRPr="00160FE9" w:rsidRDefault="00C139E2" w:rsidP="00C139E2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160FE9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Identifier les acteurs à mobiliser et les leviers d'intervention et d'action</w:t>
            </w:r>
          </w:p>
        </w:tc>
      </w:tr>
      <w:tr w:rsidR="008C09EC" w:rsidRPr="008C09EC" w:rsidTr="00160FE9">
        <w:trPr>
          <w:trHeight w:val="1182"/>
        </w:trPr>
        <w:tc>
          <w:tcPr>
            <w:tcW w:w="1451" w:type="dxa"/>
          </w:tcPr>
          <w:p w:rsidR="008C09EC" w:rsidRPr="008C09EC" w:rsidRDefault="008C09EC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8C09EC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RACPUD0001</w:t>
            </w:r>
          </w:p>
        </w:tc>
        <w:tc>
          <w:tcPr>
            <w:tcW w:w="1254" w:type="dxa"/>
          </w:tcPr>
          <w:p w:rsidR="008C09EC" w:rsidRDefault="008C09EC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2024-00001</w:t>
            </w:r>
          </w:p>
        </w:tc>
        <w:tc>
          <w:tcPr>
            <w:tcW w:w="1985" w:type="dxa"/>
          </w:tcPr>
          <w:p w:rsidR="008C09EC" w:rsidRPr="00C139E2" w:rsidRDefault="008C09EC" w:rsidP="00160FE9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8C09EC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Diversité et lutte contre les discriminations</w:t>
            </w:r>
          </w:p>
        </w:tc>
        <w:tc>
          <w:tcPr>
            <w:tcW w:w="1153" w:type="dxa"/>
          </w:tcPr>
          <w:p w:rsidR="008C09EC" w:rsidRDefault="008C09EC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Ira Nantes</w:t>
            </w:r>
          </w:p>
        </w:tc>
        <w:tc>
          <w:tcPr>
            <w:tcW w:w="932" w:type="dxa"/>
            <w:gridSpan w:val="2"/>
          </w:tcPr>
          <w:p w:rsidR="008C09EC" w:rsidRDefault="008C09EC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1H50</w:t>
            </w:r>
          </w:p>
        </w:tc>
        <w:tc>
          <w:tcPr>
            <w:tcW w:w="3432" w:type="dxa"/>
          </w:tcPr>
          <w:p w:rsidR="008C09EC" w:rsidRPr="008C09EC" w:rsidRDefault="00044F8E" w:rsidP="00044F8E">
            <w:pPr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t>La diversité et le lutte contre les discriminations à travers 3 situations : discrimination religieuse</w:t>
            </w:r>
            <w:r>
              <w:t>,</w:t>
            </w:r>
            <w:r>
              <w:t xml:space="preserve"> </w:t>
            </w:r>
            <w:r>
              <w:t xml:space="preserve">orientation sexuelle, </w:t>
            </w:r>
            <w:r>
              <w:t>handicap</w:t>
            </w:r>
          </w:p>
        </w:tc>
      </w:tr>
      <w:tr w:rsidR="00044F8E" w:rsidRPr="008C09EC" w:rsidTr="00160FE9">
        <w:trPr>
          <w:trHeight w:val="1141"/>
        </w:trPr>
        <w:tc>
          <w:tcPr>
            <w:tcW w:w="1451" w:type="dxa"/>
          </w:tcPr>
          <w:p w:rsidR="008C09EC" w:rsidRPr="008C09EC" w:rsidRDefault="008C09EC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RACPUD0002</w:t>
            </w:r>
          </w:p>
        </w:tc>
        <w:tc>
          <w:tcPr>
            <w:tcW w:w="1254" w:type="dxa"/>
          </w:tcPr>
          <w:p w:rsidR="008C09EC" w:rsidRDefault="008C09EC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2024-0002</w:t>
            </w:r>
          </w:p>
        </w:tc>
        <w:tc>
          <w:tcPr>
            <w:tcW w:w="1985" w:type="dxa"/>
          </w:tcPr>
          <w:p w:rsidR="008C09EC" w:rsidRPr="008C09EC" w:rsidRDefault="00044F8E" w:rsidP="00044F8E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Co</w:t>
            </w:r>
            <w:r w:rsidRPr="00044F8E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mprendre </w:t>
            </w: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 xml:space="preserve">et prévenir les discriminations </w:t>
            </w:r>
          </w:p>
        </w:tc>
        <w:tc>
          <w:tcPr>
            <w:tcW w:w="1153" w:type="dxa"/>
          </w:tcPr>
          <w:p w:rsidR="008C09EC" w:rsidRDefault="00044F8E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Ira Nantes</w:t>
            </w:r>
          </w:p>
        </w:tc>
        <w:tc>
          <w:tcPr>
            <w:tcW w:w="932" w:type="dxa"/>
            <w:gridSpan w:val="2"/>
          </w:tcPr>
          <w:p w:rsidR="008C09EC" w:rsidRDefault="00044F8E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1H30</w:t>
            </w:r>
          </w:p>
        </w:tc>
        <w:tc>
          <w:tcPr>
            <w:tcW w:w="3432" w:type="dxa"/>
          </w:tcPr>
          <w:p w:rsidR="008C09EC" w:rsidRPr="008C09EC" w:rsidRDefault="00044F8E" w:rsidP="00044F8E">
            <w:pPr>
              <w:rPr>
                <w:rFonts w:ascii="Marianne" w:eastAsia="Times New Roman" w:hAnsi="Marianne" w:cs="Calibri"/>
                <w:bCs/>
                <w:color w:val="000000"/>
                <w:sz w:val="18"/>
                <w:szCs w:val="18"/>
                <w:lang w:eastAsia="fr-FR"/>
              </w:rPr>
            </w:pPr>
            <w:r>
              <w:t>Définition des stéréotypes et préjugés Aspects juridiques des discriminations Cumul ou amalgame de discriminations</w:t>
            </w:r>
          </w:p>
        </w:tc>
      </w:tr>
      <w:tr w:rsidR="00044F8E" w:rsidRPr="008C09EC" w:rsidTr="00160FE9">
        <w:trPr>
          <w:trHeight w:val="1141"/>
        </w:trPr>
        <w:tc>
          <w:tcPr>
            <w:tcW w:w="1451" w:type="dxa"/>
          </w:tcPr>
          <w:p w:rsidR="00044F8E" w:rsidRDefault="00160FE9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RACPUE00001</w:t>
            </w:r>
          </w:p>
        </w:tc>
        <w:tc>
          <w:tcPr>
            <w:tcW w:w="1254" w:type="dxa"/>
          </w:tcPr>
          <w:p w:rsidR="00044F8E" w:rsidRDefault="00044F8E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2024-00001</w:t>
            </w:r>
          </w:p>
        </w:tc>
        <w:tc>
          <w:tcPr>
            <w:tcW w:w="1985" w:type="dxa"/>
          </w:tcPr>
          <w:p w:rsidR="00044F8E" w:rsidRDefault="00044F8E" w:rsidP="00044F8E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 w:rsidRPr="00044F8E"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Violences sexistes et sexuelles au travail : comprendre, agir, prévenir</w:t>
            </w:r>
          </w:p>
        </w:tc>
        <w:tc>
          <w:tcPr>
            <w:tcW w:w="1153" w:type="dxa"/>
          </w:tcPr>
          <w:p w:rsidR="00044F8E" w:rsidRDefault="00160FE9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INTEFP</w:t>
            </w:r>
          </w:p>
        </w:tc>
        <w:tc>
          <w:tcPr>
            <w:tcW w:w="932" w:type="dxa"/>
            <w:gridSpan w:val="2"/>
          </w:tcPr>
          <w:p w:rsidR="00044F8E" w:rsidRDefault="00160FE9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2*1H</w:t>
            </w:r>
          </w:p>
        </w:tc>
        <w:tc>
          <w:tcPr>
            <w:tcW w:w="3432" w:type="dxa"/>
          </w:tcPr>
          <w:p w:rsidR="00044F8E" w:rsidRDefault="00160FE9" w:rsidP="00044F8E">
            <w:r>
              <w:t xml:space="preserve">Les femmes au travail Violences sexistes et sexuelles de quoi </w:t>
            </w:r>
            <w:r>
              <w:t>parle-t</w:t>
            </w:r>
            <w:r>
              <w:t>-on</w:t>
            </w:r>
            <w:r>
              <w:t xml:space="preserve"> </w:t>
            </w:r>
            <w:r>
              <w:t>? Mécanismes de la violences au travail</w:t>
            </w:r>
          </w:p>
        </w:tc>
      </w:tr>
      <w:tr w:rsidR="00160FE9" w:rsidRPr="008C09EC" w:rsidTr="00160FE9">
        <w:trPr>
          <w:trHeight w:val="1141"/>
        </w:trPr>
        <w:tc>
          <w:tcPr>
            <w:tcW w:w="1451" w:type="dxa"/>
          </w:tcPr>
          <w:p w:rsidR="00160FE9" w:rsidRDefault="00160FE9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RACPUE</w:t>
            </w:r>
            <w:bookmarkStart w:id="0" w:name="_GoBack"/>
            <w:bookmarkEnd w:id="0"/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0002</w:t>
            </w:r>
          </w:p>
        </w:tc>
        <w:tc>
          <w:tcPr>
            <w:tcW w:w="1254" w:type="dxa"/>
          </w:tcPr>
          <w:p w:rsidR="00160FE9" w:rsidRDefault="00160FE9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2024-00001</w:t>
            </w:r>
          </w:p>
        </w:tc>
        <w:tc>
          <w:tcPr>
            <w:tcW w:w="1985" w:type="dxa"/>
          </w:tcPr>
          <w:p w:rsidR="00160FE9" w:rsidRPr="00044F8E" w:rsidRDefault="00160FE9" w:rsidP="00044F8E">
            <w:pP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t>Vers l'égalité entre les hommes et les femmes</w:t>
            </w:r>
          </w:p>
        </w:tc>
        <w:tc>
          <w:tcPr>
            <w:tcW w:w="1153" w:type="dxa"/>
          </w:tcPr>
          <w:p w:rsidR="00160FE9" w:rsidRDefault="00160FE9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Ministère des armées</w:t>
            </w:r>
          </w:p>
        </w:tc>
        <w:tc>
          <w:tcPr>
            <w:tcW w:w="932" w:type="dxa"/>
            <w:gridSpan w:val="2"/>
          </w:tcPr>
          <w:p w:rsidR="00160FE9" w:rsidRDefault="00160FE9" w:rsidP="008C09EC">
            <w:pPr>
              <w:jc w:val="center"/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sz w:val="18"/>
                <w:szCs w:val="18"/>
                <w:lang w:eastAsia="fr-FR"/>
              </w:rPr>
              <w:t>1H</w:t>
            </w:r>
          </w:p>
        </w:tc>
        <w:tc>
          <w:tcPr>
            <w:tcW w:w="3432" w:type="dxa"/>
          </w:tcPr>
          <w:p w:rsidR="00160FE9" w:rsidRDefault="00160FE9" w:rsidP="00044F8E">
            <w:r>
              <w:t>Les situations de sexisme et/ou de harcèlement Les chiffres clés</w:t>
            </w:r>
          </w:p>
        </w:tc>
      </w:tr>
    </w:tbl>
    <w:p w:rsidR="00044CA9" w:rsidRPr="002F3CDB" w:rsidRDefault="00044CA9" w:rsidP="005E692B">
      <w:pPr>
        <w:pStyle w:val="Paragraphedeliste"/>
        <w:spacing w:after="0" w:line="240" w:lineRule="auto"/>
        <w:ind w:left="76"/>
        <w:jc w:val="right"/>
        <w:rPr>
          <w:rFonts w:ascii="Marianne" w:hAnsi="Marianne"/>
          <w:noProof/>
          <w:sz w:val="18"/>
          <w:szCs w:val="18"/>
          <w:lang w:eastAsia="fr-FR"/>
        </w:rPr>
      </w:pPr>
    </w:p>
    <w:p w:rsidR="00C649CA" w:rsidRDefault="00C649CA" w:rsidP="005F75A3">
      <w:pPr>
        <w:jc w:val="center"/>
        <w:rPr>
          <w:rFonts w:ascii="Marianne" w:hAnsi="Marianne"/>
          <w:b/>
          <w:szCs w:val="18"/>
        </w:rPr>
      </w:pPr>
    </w:p>
    <w:p w:rsidR="00C649CA" w:rsidRDefault="00C649CA" w:rsidP="005F75A3">
      <w:pPr>
        <w:jc w:val="center"/>
        <w:rPr>
          <w:rFonts w:ascii="Marianne" w:hAnsi="Marianne"/>
          <w:b/>
          <w:szCs w:val="18"/>
        </w:rPr>
      </w:pPr>
    </w:p>
    <w:p w:rsidR="00C649CA" w:rsidRDefault="00C649CA" w:rsidP="005F75A3">
      <w:pPr>
        <w:jc w:val="center"/>
        <w:rPr>
          <w:rFonts w:ascii="Marianne" w:hAnsi="Marianne"/>
          <w:b/>
          <w:szCs w:val="18"/>
        </w:rPr>
      </w:pPr>
    </w:p>
    <w:p w:rsidR="00723D96" w:rsidRPr="005F75A3" w:rsidRDefault="00723D96" w:rsidP="005F75A3">
      <w:pPr>
        <w:jc w:val="center"/>
        <w:rPr>
          <w:rFonts w:ascii="Marianne" w:hAnsi="Marianne"/>
          <w:b/>
          <w:szCs w:val="18"/>
        </w:rPr>
      </w:pPr>
      <w:r w:rsidRPr="005F75A3">
        <w:rPr>
          <w:rFonts w:ascii="Marianne" w:hAnsi="Marianne"/>
          <w:b/>
          <w:szCs w:val="18"/>
        </w:rPr>
        <w:t>CONSEIL</w:t>
      </w:r>
      <w:r w:rsidR="006432A5" w:rsidRPr="005F75A3">
        <w:rPr>
          <w:rFonts w:ascii="Marianne" w:hAnsi="Marianne"/>
          <w:b/>
          <w:szCs w:val="18"/>
        </w:rPr>
        <w:t>S</w:t>
      </w:r>
      <w:r w:rsidRPr="005F75A3">
        <w:rPr>
          <w:rFonts w:ascii="Marianne" w:hAnsi="Marianne"/>
          <w:b/>
          <w:szCs w:val="18"/>
        </w:rPr>
        <w:t xml:space="preserve"> POUR LE SUIVI D’UNE FORMATION EN AUTONOMIE</w:t>
      </w:r>
    </w:p>
    <w:p w:rsidR="00723D96" w:rsidRPr="002F3CDB" w:rsidRDefault="00723D96" w:rsidP="00723D9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</w:p>
    <w:p w:rsidR="00F14519" w:rsidRPr="002F3CDB" w:rsidRDefault="00F14519" w:rsidP="00723D9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&gt; Planifier, en concertation avec votre responsable, votre formation en équilibrant votre temps entre votre auto-formation et votre temps de travail</w:t>
      </w:r>
      <w:r w:rsidR="00044CA9" w:rsidRPr="002F3CDB">
        <w:rPr>
          <w:rFonts w:ascii="Marianne" w:hAnsi="Marianne"/>
          <w:sz w:val="18"/>
          <w:szCs w:val="18"/>
        </w:rPr>
        <w:t>.</w:t>
      </w:r>
    </w:p>
    <w:p w:rsidR="00F14519" w:rsidRPr="002F3CDB" w:rsidRDefault="00F14519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&gt; Bloquer concrètement les créneaux de la formation dans votre calendrier</w:t>
      </w:r>
      <w:r w:rsidR="00044CA9" w:rsidRPr="002F3CDB">
        <w:rPr>
          <w:rFonts w:ascii="Marianne" w:hAnsi="Marianne"/>
          <w:sz w:val="18"/>
          <w:szCs w:val="18"/>
        </w:rPr>
        <w:t>.</w:t>
      </w:r>
    </w:p>
    <w:p w:rsidR="00F14519" w:rsidRPr="002F3CDB" w:rsidRDefault="00F14519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&gt; S</w:t>
      </w:r>
      <w:r w:rsidR="00044CA9" w:rsidRPr="002F3CDB">
        <w:rPr>
          <w:rFonts w:ascii="Marianne" w:hAnsi="Marianne"/>
          <w:sz w:val="18"/>
          <w:szCs w:val="18"/>
        </w:rPr>
        <w:t>’e</w:t>
      </w:r>
      <w:r w:rsidR="00723D96" w:rsidRPr="002F3CDB">
        <w:rPr>
          <w:rFonts w:ascii="Marianne" w:hAnsi="Marianne"/>
          <w:sz w:val="18"/>
          <w:szCs w:val="18"/>
        </w:rPr>
        <w:t xml:space="preserve">fforcer à de </w:t>
      </w:r>
      <w:r w:rsidRPr="002F3CDB">
        <w:rPr>
          <w:rFonts w:ascii="Marianne" w:hAnsi="Marianne"/>
          <w:sz w:val="18"/>
          <w:szCs w:val="18"/>
        </w:rPr>
        <w:t>res</w:t>
      </w:r>
      <w:r w:rsidR="00723D96" w:rsidRPr="002F3CDB">
        <w:rPr>
          <w:rFonts w:ascii="Marianne" w:hAnsi="Marianne"/>
          <w:sz w:val="18"/>
          <w:szCs w:val="18"/>
        </w:rPr>
        <w:t>pecter le calendrier de travail fixé.</w:t>
      </w:r>
    </w:p>
    <w:p w:rsidR="00F14519" w:rsidRPr="002F3CDB" w:rsidRDefault="00F14519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&gt; Communiquer à votre équipe de travail que vous êtes en formation.</w:t>
      </w:r>
    </w:p>
    <w:p w:rsidR="00F14519" w:rsidRDefault="00F14519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&gt; Eteindre votre mobile et renvoyer votre poste téléphonique</w:t>
      </w:r>
      <w:r w:rsidR="00044CA9" w:rsidRPr="002F3CDB">
        <w:rPr>
          <w:rFonts w:ascii="Marianne" w:hAnsi="Marianne"/>
          <w:sz w:val="18"/>
          <w:szCs w:val="18"/>
        </w:rPr>
        <w:t>.</w:t>
      </w:r>
    </w:p>
    <w:p w:rsidR="005C6657" w:rsidRDefault="005C6657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&gt; « Oublier » vos courriels. </w:t>
      </w:r>
    </w:p>
    <w:p w:rsidR="005C6657" w:rsidRPr="002F3CDB" w:rsidRDefault="005C6657" w:rsidP="005C6657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&gt; Suivre la formation régulièrement en veillant à se focaliser uniquement sur celle-ci (ne pas faire une autre activité en même temps)</w:t>
      </w:r>
    </w:p>
    <w:p w:rsidR="00F14519" w:rsidRPr="002F3CDB" w:rsidRDefault="00F14519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 xml:space="preserve">&gt; Ne pas surcharger votre journée. Il </w:t>
      </w:r>
      <w:r w:rsidR="00723D96" w:rsidRPr="002F3CDB">
        <w:rPr>
          <w:rFonts w:ascii="Marianne" w:hAnsi="Marianne"/>
          <w:sz w:val="18"/>
          <w:szCs w:val="18"/>
        </w:rPr>
        <w:t>v</w:t>
      </w:r>
      <w:r w:rsidRPr="002F3CDB">
        <w:rPr>
          <w:rFonts w:ascii="Marianne" w:hAnsi="Marianne"/>
          <w:sz w:val="18"/>
          <w:szCs w:val="18"/>
        </w:rPr>
        <w:t>aut mieux privilégier la régularité que la quantité</w:t>
      </w:r>
      <w:r w:rsidR="00044CA9" w:rsidRPr="002F3CDB">
        <w:rPr>
          <w:rFonts w:ascii="Marianne" w:hAnsi="Marianne"/>
          <w:sz w:val="18"/>
          <w:szCs w:val="18"/>
        </w:rPr>
        <w:t>.</w:t>
      </w:r>
    </w:p>
    <w:p w:rsidR="00F14519" w:rsidRPr="002F3CDB" w:rsidRDefault="00F14519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 xml:space="preserve">&gt; Choisir un lieu de formation propice à l’apprentissage. </w:t>
      </w:r>
    </w:p>
    <w:p w:rsidR="00F14519" w:rsidRPr="002F3CDB" w:rsidRDefault="00F14519" w:rsidP="00044CA9">
      <w:pPr>
        <w:pStyle w:val="Paragraphedeliste"/>
        <w:numPr>
          <w:ilvl w:val="0"/>
          <w:numId w:val="3"/>
        </w:numPr>
        <w:spacing w:before="120" w:after="120" w:line="240" w:lineRule="auto"/>
        <w:ind w:left="431" w:hanging="357"/>
        <w:contextualSpacing w:val="0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 xml:space="preserve">Si vous choisissez de vous former sur site, indiquez sur votre porte que vous êtes en formation ou trouvez un espace propice dans lequel vous ne serez pas </w:t>
      </w:r>
      <w:proofErr w:type="spellStart"/>
      <w:proofErr w:type="gramStart"/>
      <w:r w:rsidRPr="002F3CDB">
        <w:rPr>
          <w:rFonts w:ascii="Marianne" w:hAnsi="Marianne"/>
          <w:sz w:val="18"/>
          <w:szCs w:val="18"/>
        </w:rPr>
        <w:t>dérangé.e</w:t>
      </w:r>
      <w:proofErr w:type="spellEnd"/>
      <w:proofErr w:type="gramEnd"/>
      <w:r w:rsidRPr="002F3CDB">
        <w:rPr>
          <w:rFonts w:ascii="Marianne" w:hAnsi="Marianne"/>
          <w:sz w:val="18"/>
          <w:szCs w:val="18"/>
        </w:rPr>
        <w:t xml:space="preserve"> </w:t>
      </w:r>
    </w:p>
    <w:p w:rsidR="00F14519" w:rsidRPr="002F3CDB" w:rsidRDefault="00F14519" w:rsidP="00044CA9">
      <w:pPr>
        <w:pStyle w:val="Paragraphedeliste"/>
        <w:numPr>
          <w:ilvl w:val="0"/>
          <w:numId w:val="3"/>
        </w:numPr>
        <w:spacing w:before="120" w:after="120" w:line="240" w:lineRule="auto"/>
        <w:ind w:left="431" w:hanging="357"/>
        <w:contextualSpacing w:val="0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Si vous êtes en télétravail, installez-vous au calme</w:t>
      </w:r>
      <w:r w:rsidR="00044CA9" w:rsidRPr="002F3CDB">
        <w:rPr>
          <w:rFonts w:ascii="Marianne" w:hAnsi="Marianne"/>
          <w:sz w:val="18"/>
          <w:szCs w:val="18"/>
        </w:rPr>
        <w:t>.</w:t>
      </w:r>
    </w:p>
    <w:p w:rsidR="00F14519" w:rsidRPr="002F3CDB" w:rsidRDefault="00F14519" w:rsidP="00044CA9">
      <w:pPr>
        <w:spacing w:before="120" w:after="120" w:line="240" w:lineRule="auto"/>
        <w:ind w:left="-284"/>
        <w:jc w:val="both"/>
        <w:rPr>
          <w:rFonts w:ascii="Marianne" w:hAnsi="Marianne"/>
          <w:sz w:val="18"/>
          <w:szCs w:val="18"/>
        </w:rPr>
      </w:pPr>
      <w:r w:rsidRPr="002F3CDB">
        <w:rPr>
          <w:rFonts w:ascii="Marianne" w:hAnsi="Marianne"/>
          <w:sz w:val="18"/>
          <w:szCs w:val="18"/>
        </w:rPr>
        <w:t>&gt; Prenez le temps. Il est important d’aller à votre rythme, de revenir sur les notions non comprises, pour lesquelles vous avez eu des difficultés ou que vous n’arrivez pas à retenir.</w:t>
      </w:r>
    </w:p>
    <w:p w:rsidR="00A86E81" w:rsidRDefault="00A86E81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</w:p>
    <w:p w:rsidR="00F30493" w:rsidRPr="002F3CDB" w:rsidRDefault="00F30493" w:rsidP="00D011C6">
      <w:pPr>
        <w:spacing w:after="0" w:line="240" w:lineRule="auto"/>
        <w:ind w:left="-284"/>
        <w:jc w:val="both"/>
        <w:rPr>
          <w:rFonts w:ascii="Marianne" w:hAnsi="Marianne"/>
          <w:sz w:val="18"/>
          <w:szCs w:val="18"/>
        </w:rPr>
      </w:pPr>
    </w:p>
    <w:p w:rsidR="002F3CDB" w:rsidRDefault="002F3CDB" w:rsidP="00160FE9">
      <w:pPr>
        <w:pStyle w:val="Corpsdetexte"/>
        <w:spacing w:before="160" w:line="237" w:lineRule="auto"/>
        <w:ind w:right="125"/>
        <w:jc w:val="both"/>
        <w:rPr>
          <w:rFonts w:ascii="Marianne" w:hAnsi="Marianne"/>
          <w:b/>
          <w:sz w:val="18"/>
          <w:szCs w:val="18"/>
        </w:rPr>
      </w:pPr>
    </w:p>
    <w:sectPr w:rsidR="002F3CDB" w:rsidSect="008C09EC">
      <w:headerReference w:type="default" r:id="rId8"/>
      <w:footerReference w:type="default" r:id="rId9"/>
      <w:pgSz w:w="11906" w:h="16838" w:code="9"/>
      <w:pgMar w:top="1560" w:right="851" w:bottom="567" w:left="1418" w:header="56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35" w:rsidRDefault="00A13435" w:rsidP="00A413CB">
      <w:pPr>
        <w:spacing w:after="0" w:line="240" w:lineRule="auto"/>
      </w:pPr>
      <w:r>
        <w:separator/>
      </w:r>
    </w:p>
  </w:endnote>
  <w:endnote w:type="continuationSeparator" w:id="0">
    <w:p w:rsidR="00A13435" w:rsidRDefault="00A13435" w:rsidP="00A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CB" w:rsidRPr="00A413CB" w:rsidRDefault="00A41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A413CB">
      <w:rPr>
        <w:color w:val="8496B0" w:themeColor="text2" w:themeTint="99"/>
        <w:spacing w:val="60"/>
        <w:sz w:val="16"/>
        <w:szCs w:val="16"/>
      </w:rPr>
      <w:t>Page</w:t>
    </w:r>
    <w:r w:rsidRPr="00A413CB">
      <w:rPr>
        <w:color w:val="8496B0" w:themeColor="text2" w:themeTint="99"/>
        <w:sz w:val="16"/>
        <w:szCs w:val="16"/>
      </w:rPr>
      <w:t xml:space="preserve"> </w:t>
    </w:r>
    <w:r w:rsidRPr="00A413CB">
      <w:rPr>
        <w:color w:val="323E4F" w:themeColor="text2" w:themeShade="BF"/>
        <w:sz w:val="16"/>
        <w:szCs w:val="16"/>
      </w:rPr>
      <w:fldChar w:fldCharType="begin"/>
    </w:r>
    <w:r w:rsidRPr="00A413CB">
      <w:rPr>
        <w:color w:val="323E4F" w:themeColor="text2" w:themeShade="BF"/>
        <w:sz w:val="16"/>
        <w:szCs w:val="16"/>
      </w:rPr>
      <w:instrText>PAGE   \* MERGEFORMAT</w:instrText>
    </w:r>
    <w:r w:rsidRPr="00A413CB">
      <w:rPr>
        <w:color w:val="323E4F" w:themeColor="text2" w:themeShade="BF"/>
        <w:sz w:val="16"/>
        <w:szCs w:val="16"/>
      </w:rPr>
      <w:fldChar w:fldCharType="separate"/>
    </w:r>
    <w:r w:rsidR="00160FE9">
      <w:rPr>
        <w:noProof/>
        <w:color w:val="323E4F" w:themeColor="text2" w:themeShade="BF"/>
        <w:sz w:val="16"/>
        <w:szCs w:val="16"/>
      </w:rPr>
      <w:t>3</w:t>
    </w:r>
    <w:r w:rsidRPr="00A413CB">
      <w:rPr>
        <w:color w:val="323E4F" w:themeColor="text2" w:themeShade="BF"/>
        <w:sz w:val="16"/>
        <w:szCs w:val="16"/>
      </w:rPr>
      <w:fldChar w:fldCharType="end"/>
    </w:r>
    <w:r w:rsidRPr="00A413CB">
      <w:rPr>
        <w:color w:val="323E4F" w:themeColor="text2" w:themeShade="BF"/>
        <w:sz w:val="16"/>
        <w:szCs w:val="16"/>
      </w:rPr>
      <w:t xml:space="preserve"> | </w:t>
    </w:r>
    <w:r w:rsidRPr="00A413CB">
      <w:rPr>
        <w:color w:val="323E4F" w:themeColor="text2" w:themeShade="BF"/>
        <w:sz w:val="16"/>
        <w:szCs w:val="16"/>
      </w:rPr>
      <w:fldChar w:fldCharType="begin"/>
    </w:r>
    <w:r w:rsidRPr="00A413CB">
      <w:rPr>
        <w:color w:val="323E4F" w:themeColor="text2" w:themeShade="BF"/>
        <w:sz w:val="16"/>
        <w:szCs w:val="16"/>
      </w:rPr>
      <w:instrText>NUMPAGES  \* Arabic  \* MERGEFORMAT</w:instrText>
    </w:r>
    <w:r w:rsidRPr="00A413CB">
      <w:rPr>
        <w:color w:val="323E4F" w:themeColor="text2" w:themeShade="BF"/>
        <w:sz w:val="16"/>
        <w:szCs w:val="16"/>
      </w:rPr>
      <w:fldChar w:fldCharType="separate"/>
    </w:r>
    <w:r w:rsidR="00160FE9">
      <w:rPr>
        <w:noProof/>
        <w:color w:val="323E4F" w:themeColor="text2" w:themeShade="BF"/>
        <w:sz w:val="16"/>
        <w:szCs w:val="16"/>
      </w:rPr>
      <w:t>3</w:t>
    </w:r>
    <w:r w:rsidRPr="00A413CB">
      <w:rPr>
        <w:color w:val="323E4F" w:themeColor="text2" w:themeShade="BF"/>
        <w:sz w:val="16"/>
        <w:szCs w:val="16"/>
      </w:rPr>
      <w:fldChar w:fldCharType="end"/>
    </w:r>
  </w:p>
  <w:p w:rsidR="00A413CB" w:rsidRDefault="00A413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35" w:rsidRDefault="00A13435" w:rsidP="00A413CB">
      <w:pPr>
        <w:spacing w:after="0" w:line="240" w:lineRule="auto"/>
      </w:pPr>
      <w:r>
        <w:separator/>
      </w:r>
    </w:p>
  </w:footnote>
  <w:footnote w:type="continuationSeparator" w:id="0">
    <w:p w:rsidR="00A13435" w:rsidRDefault="00A13435" w:rsidP="00A4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B1" w:rsidRPr="002669B1" w:rsidRDefault="002669B1">
    <w:pPr>
      <w:pStyle w:val="En-tte"/>
      <w:rPr>
        <w:rFonts w:ascii="Marianne" w:hAnsi="Marianne"/>
        <w:sz w:val="16"/>
        <w:szCs w:val="16"/>
      </w:rPr>
    </w:pPr>
    <w:r w:rsidRPr="002669B1">
      <w:rPr>
        <w:rFonts w:ascii="Marianne" w:hAnsi="Marianne"/>
        <w:sz w:val="16"/>
        <w:szCs w:val="16"/>
      </w:rPr>
      <w:t>SG/RAPS/MAPS-IFI/DACFC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31A"/>
    <w:multiLevelType w:val="hybridMultilevel"/>
    <w:tmpl w:val="17F21058"/>
    <w:lvl w:ilvl="0" w:tplc="1ECCEDB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534642"/>
    <w:multiLevelType w:val="hybridMultilevel"/>
    <w:tmpl w:val="2616975E"/>
    <w:lvl w:ilvl="0" w:tplc="6A3AA0DA">
      <w:start w:val="2"/>
      <w:numFmt w:val="decimal"/>
      <w:lvlText w:val="%1."/>
      <w:lvlJc w:val="left"/>
      <w:pPr>
        <w:ind w:left="1037" w:hanging="360"/>
      </w:pPr>
      <w:rPr>
        <w:rFonts w:ascii="Calibri" w:eastAsia="Calibri" w:hAnsi="Calibri" w:cs="Calibri" w:hint="default"/>
        <w:spacing w:val="-1"/>
        <w:w w:val="97"/>
        <w:sz w:val="23"/>
        <w:szCs w:val="23"/>
        <w:lang w:val="fr-FR" w:eastAsia="en-US" w:bidi="ar-SA"/>
      </w:rPr>
    </w:lvl>
    <w:lvl w:ilvl="1" w:tplc="6CE281FE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4E6E680A">
      <w:numFmt w:val="bullet"/>
      <w:lvlText w:val="•"/>
      <w:lvlJc w:val="left"/>
      <w:pPr>
        <w:ind w:left="2821" w:hanging="360"/>
      </w:pPr>
      <w:rPr>
        <w:rFonts w:hint="default"/>
        <w:lang w:val="fr-FR" w:eastAsia="en-US" w:bidi="ar-SA"/>
      </w:rPr>
    </w:lvl>
    <w:lvl w:ilvl="3" w:tplc="C9F4258E">
      <w:numFmt w:val="bullet"/>
      <w:lvlText w:val="•"/>
      <w:lvlJc w:val="left"/>
      <w:pPr>
        <w:ind w:left="3711" w:hanging="360"/>
      </w:pPr>
      <w:rPr>
        <w:rFonts w:hint="default"/>
        <w:lang w:val="fr-FR" w:eastAsia="en-US" w:bidi="ar-SA"/>
      </w:rPr>
    </w:lvl>
    <w:lvl w:ilvl="4" w:tplc="3DDED6B8">
      <w:numFmt w:val="bullet"/>
      <w:lvlText w:val="•"/>
      <w:lvlJc w:val="left"/>
      <w:pPr>
        <w:ind w:left="4602" w:hanging="360"/>
      </w:pPr>
      <w:rPr>
        <w:rFonts w:hint="default"/>
        <w:lang w:val="fr-FR" w:eastAsia="en-US" w:bidi="ar-SA"/>
      </w:rPr>
    </w:lvl>
    <w:lvl w:ilvl="5" w:tplc="FA4CCB9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6" w:tplc="CD62B2E6">
      <w:numFmt w:val="bullet"/>
      <w:lvlText w:val="•"/>
      <w:lvlJc w:val="left"/>
      <w:pPr>
        <w:ind w:left="6383" w:hanging="360"/>
      </w:pPr>
      <w:rPr>
        <w:rFonts w:hint="default"/>
        <w:lang w:val="fr-FR" w:eastAsia="en-US" w:bidi="ar-SA"/>
      </w:rPr>
    </w:lvl>
    <w:lvl w:ilvl="7" w:tplc="BC1C34E4">
      <w:numFmt w:val="bullet"/>
      <w:lvlText w:val="•"/>
      <w:lvlJc w:val="left"/>
      <w:pPr>
        <w:ind w:left="7274" w:hanging="360"/>
      </w:pPr>
      <w:rPr>
        <w:rFonts w:hint="default"/>
        <w:lang w:val="fr-FR" w:eastAsia="en-US" w:bidi="ar-SA"/>
      </w:rPr>
    </w:lvl>
    <w:lvl w:ilvl="8" w:tplc="6172D7F2">
      <w:numFmt w:val="bullet"/>
      <w:lvlText w:val="•"/>
      <w:lvlJc w:val="left"/>
      <w:pPr>
        <w:ind w:left="816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5A008AB"/>
    <w:multiLevelType w:val="hybridMultilevel"/>
    <w:tmpl w:val="07244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1C17"/>
    <w:multiLevelType w:val="hybridMultilevel"/>
    <w:tmpl w:val="939E8DDE"/>
    <w:lvl w:ilvl="0" w:tplc="B0C8745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62F3461"/>
    <w:multiLevelType w:val="hybridMultilevel"/>
    <w:tmpl w:val="45F890E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09140D1"/>
    <w:multiLevelType w:val="hybridMultilevel"/>
    <w:tmpl w:val="A09AA4E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CA17556"/>
    <w:multiLevelType w:val="hybridMultilevel"/>
    <w:tmpl w:val="C2CEE0EC"/>
    <w:lvl w:ilvl="0" w:tplc="2D36D3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6"/>
    <w:rsid w:val="000013D1"/>
    <w:rsid w:val="000220FB"/>
    <w:rsid w:val="00044CA9"/>
    <w:rsid w:val="00044F8E"/>
    <w:rsid w:val="00066767"/>
    <w:rsid w:val="00083190"/>
    <w:rsid w:val="00083469"/>
    <w:rsid w:val="00087CEE"/>
    <w:rsid w:val="000B0315"/>
    <w:rsid w:val="00112B11"/>
    <w:rsid w:val="001300D6"/>
    <w:rsid w:val="0015258C"/>
    <w:rsid w:val="00160FE9"/>
    <w:rsid w:val="001774B6"/>
    <w:rsid w:val="00193B42"/>
    <w:rsid w:val="001A558D"/>
    <w:rsid w:val="002669B1"/>
    <w:rsid w:val="00281B48"/>
    <w:rsid w:val="002F3CDB"/>
    <w:rsid w:val="00450B13"/>
    <w:rsid w:val="0049019E"/>
    <w:rsid w:val="004E312A"/>
    <w:rsid w:val="004F37E1"/>
    <w:rsid w:val="00506EA1"/>
    <w:rsid w:val="00524045"/>
    <w:rsid w:val="005741E3"/>
    <w:rsid w:val="005C4CD4"/>
    <w:rsid w:val="005C6657"/>
    <w:rsid w:val="005E692B"/>
    <w:rsid w:val="005F75A3"/>
    <w:rsid w:val="00610B0F"/>
    <w:rsid w:val="00635E37"/>
    <w:rsid w:val="00640A4D"/>
    <w:rsid w:val="006432A5"/>
    <w:rsid w:val="0065208A"/>
    <w:rsid w:val="0066287C"/>
    <w:rsid w:val="00673AFF"/>
    <w:rsid w:val="006877E7"/>
    <w:rsid w:val="006A795E"/>
    <w:rsid w:val="006F1234"/>
    <w:rsid w:val="00703E79"/>
    <w:rsid w:val="00723D96"/>
    <w:rsid w:val="00731348"/>
    <w:rsid w:val="00761767"/>
    <w:rsid w:val="00780355"/>
    <w:rsid w:val="007C333A"/>
    <w:rsid w:val="00821986"/>
    <w:rsid w:val="00845FC2"/>
    <w:rsid w:val="00852803"/>
    <w:rsid w:val="008C09EC"/>
    <w:rsid w:val="008E2923"/>
    <w:rsid w:val="0095738D"/>
    <w:rsid w:val="009774F3"/>
    <w:rsid w:val="009A1EF5"/>
    <w:rsid w:val="009B5ACA"/>
    <w:rsid w:val="00A13435"/>
    <w:rsid w:val="00A413CB"/>
    <w:rsid w:val="00A60549"/>
    <w:rsid w:val="00A72D4C"/>
    <w:rsid w:val="00A86E81"/>
    <w:rsid w:val="00AE12D0"/>
    <w:rsid w:val="00AE2A59"/>
    <w:rsid w:val="00B435C2"/>
    <w:rsid w:val="00BA7EB5"/>
    <w:rsid w:val="00BF0D20"/>
    <w:rsid w:val="00BF3DD0"/>
    <w:rsid w:val="00C023CD"/>
    <w:rsid w:val="00C139E2"/>
    <w:rsid w:val="00C643A2"/>
    <w:rsid w:val="00C649CA"/>
    <w:rsid w:val="00C72D77"/>
    <w:rsid w:val="00C91EE7"/>
    <w:rsid w:val="00CF1E21"/>
    <w:rsid w:val="00D011C6"/>
    <w:rsid w:val="00D21747"/>
    <w:rsid w:val="00D61C4E"/>
    <w:rsid w:val="00DA2BDD"/>
    <w:rsid w:val="00DA4E2C"/>
    <w:rsid w:val="00DD2C1C"/>
    <w:rsid w:val="00E12FCD"/>
    <w:rsid w:val="00E1501F"/>
    <w:rsid w:val="00E31709"/>
    <w:rsid w:val="00E42C4F"/>
    <w:rsid w:val="00E91AB2"/>
    <w:rsid w:val="00F14519"/>
    <w:rsid w:val="00F30493"/>
    <w:rsid w:val="00F42507"/>
    <w:rsid w:val="00F6222E"/>
    <w:rsid w:val="00F76907"/>
    <w:rsid w:val="00F95776"/>
    <w:rsid w:val="00FD2980"/>
    <w:rsid w:val="00FD6F00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8770F"/>
  <w15:chartTrackingRefBased/>
  <w15:docId w15:val="{D61DCB9D-1FE9-49DC-B320-057E0948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8D"/>
  </w:style>
  <w:style w:type="paragraph" w:styleId="Titre1">
    <w:name w:val="heading 1"/>
    <w:basedOn w:val="Normal"/>
    <w:link w:val="Titre1Car"/>
    <w:uiPriority w:val="1"/>
    <w:qFormat/>
    <w:rsid w:val="002F3CDB"/>
    <w:pPr>
      <w:widowControl w:val="0"/>
      <w:autoSpaceDE w:val="0"/>
      <w:autoSpaceDN w:val="0"/>
      <w:spacing w:after="0" w:line="240" w:lineRule="auto"/>
      <w:ind w:left="321"/>
      <w:outlineLvl w:val="0"/>
    </w:pPr>
    <w:rPr>
      <w:rFonts w:ascii="Calibri" w:eastAsia="Calibri" w:hAnsi="Calibri" w:cs="Calibri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79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6A795E"/>
    <w:pPr>
      <w:ind w:left="720"/>
      <w:contextualSpacing/>
    </w:pPr>
  </w:style>
  <w:style w:type="paragraph" w:styleId="Rvision">
    <w:name w:val="Revision"/>
    <w:hidden/>
    <w:uiPriority w:val="99"/>
    <w:semiHidden/>
    <w:rsid w:val="0066287C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774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5C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3CB"/>
  </w:style>
  <w:style w:type="paragraph" w:styleId="Pieddepage">
    <w:name w:val="footer"/>
    <w:basedOn w:val="Normal"/>
    <w:link w:val="PieddepageCar"/>
    <w:uiPriority w:val="99"/>
    <w:unhideWhenUsed/>
    <w:rsid w:val="00A41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3CB"/>
  </w:style>
  <w:style w:type="character" w:customStyle="1" w:styleId="Titre1Car">
    <w:name w:val="Titre 1 Car"/>
    <w:basedOn w:val="Policepardfaut"/>
    <w:link w:val="Titre1"/>
    <w:uiPriority w:val="1"/>
    <w:rsid w:val="002F3CDB"/>
    <w:rPr>
      <w:rFonts w:ascii="Calibri" w:eastAsia="Calibri" w:hAnsi="Calibri" w:cs="Calibri"/>
      <w:sz w:val="27"/>
      <w:szCs w:val="27"/>
    </w:rPr>
  </w:style>
  <w:style w:type="paragraph" w:styleId="Corpsdetexte">
    <w:name w:val="Body Text"/>
    <w:basedOn w:val="Normal"/>
    <w:link w:val="CorpsdetexteCar"/>
    <w:uiPriority w:val="1"/>
    <w:qFormat/>
    <w:rsid w:val="002F3C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1"/>
    <w:rsid w:val="002F3CDB"/>
    <w:rPr>
      <w:rFonts w:ascii="Calibri" w:eastAsia="Calibri" w:hAnsi="Calibri" w:cs="Calibri"/>
      <w:sz w:val="23"/>
      <w:szCs w:val="23"/>
    </w:rPr>
  </w:style>
  <w:style w:type="character" w:styleId="Lienhypertextesuivivisit">
    <w:name w:val="FollowedHyperlink"/>
    <w:basedOn w:val="Policepardfaut"/>
    <w:uiPriority w:val="99"/>
    <w:semiHidden/>
    <w:unhideWhenUsed/>
    <w:rsid w:val="00AE12D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E42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HENRY</dc:creator>
  <cp:keywords/>
  <dc:description/>
  <cp:lastModifiedBy>Isabelle HENRY</cp:lastModifiedBy>
  <cp:revision>5</cp:revision>
  <cp:lastPrinted>2024-02-02T13:48:00Z</cp:lastPrinted>
  <dcterms:created xsi:type="dcterms:W3CDTF">2024-03-26T10:20:00Z</dcterms:created>
  <dcterms:modified xsi:type="dcterms:W3CDTF">2024-03-27T15:32:00Z</dcterms:modified>
</cp:coreProperties>
</file>